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2A8E72" w14:textId="4CC9586D" w:rsidR="000B5E1E" w:rsidRPr="004D6750" w:rsidRDefault="000B5E1E" w:rsidP="000B5E1E">
      <w:pPr>
        <w:pStyle w:val="Caption"/>
        <w:keepNext/>
        <w:rPr>
          <w:rFonts w:ascii="Arial" w:hAnsi="Arial" w:cs="Arial"/>
        </w:rPr>
      </w:pPr>
      <w:bookmarkStart w:id="0" w:name="_Ref97808096"/>
      <w:r w:rsidRPr="004D6750">
        <w:rPr>
          <w:rFonts w:ascii="Arial" w:hAnsi="Arial" w:cs="Arial"/>
        </w:rPr>
        <w:t xml:space="preserve">Supplementary Table </w:t>
      </w:r>
      <w:r w:rsidRPr="004D6750">
        <w:rPr>
          <w:rFonts w:ascii="Arial" w:hAnsi="Arial" w:cs="Arial"/>
        </w:rPr>
        <w:fldChar w:fldCharType="begin"/>
      </w:r>
      <w:r w:rsidRPr="004D6750">
        <w:rPr>
          <w:rFonts w:ascii="Arial" w:hAnsi="Arial" w:cs="Arial"/>
        </w:rPr>
        <w:instrText>SEQ Supplementary_Table \* ARABIC</w:instrText>
      </w:r>
      <w:r w:rsidRPr="004D6750">
        <w:rPr>
          <w:rFonts w:ascii="Arial" w:hAnsi="Arial" w:cs="Arial"/>
        </w:rPr>
        <w:fldChar w:fldCharType="separate"/>
      </w:r>
      <w:r w:rsidR="00684651" w:rsidRPr="004D6750">
        <w:rPr>
          <w:rFonts w:ascii="Arial" w:hAnsi="Arial" w:cs="Arial"/>
          <w:noProof/>
        </w:rPr>
        <w:t>1</w:t>
      </w:r>
      <w:r w:rsidRPr="004D6750">
        <w:rPr>
          <w:rFonts w:ascii="Arial" w:hAnsi="Arial" w:cs="Arial"/>
        </w:rPr>
        <w:fldChar w:fldCharType="end"/>
      </w:r>
      <w:bookmarkEnd w:id="0"/>
      <w:r w:rsidRPr="004D6750">
        <w:rPr>
          <w:rFonts w:ascii="Arial" w:hAnsi="Arial" w:cs="Arial"/>
        </w:rPr>
        <w:t xml:space="preserve">. </w:t>
      </w:r>
      <w:r w:rsidR="0026118A" w:rsidRPr="004D6750">
        <w:rPr>
          <w:rFonts w:ascii="Arial" w:hAnsi="Arial" w:cs="Arial"/>
        </w:rPr>
        <w:t>Combined Embase and MEDLINE Search (via Ovid)</w:t>
      </w:r>
    </w:p>
    <w:tbl>
      <w:tblPr>
        <w:tblStyle w:val="TableGrid"/>
        <w:tblW w:w="5000" w:type="pct"/>
        <w:jc w:val="center"/>
        <w:tblLayout w:type="fixed"/>
        <w:tblLook w:val="04A0" w:firstRow="1" w:lastRow="0" w:firstColumn="1" w:lastColumn="0" w:noHBand="0" w:noVBand="1"/>
      </w:tblPr>
      <w:tblGrid>
        <w:gridCol w:w="562"/>
        <w:gridCol w:w="6212"/>
        <w:gridCol w:w="1122"/>
        <w:gridCol w:w="1120"/>
      </w:tblGrid>
      <w:tr w:rsidR="00CD456F" w:rsidRPr="004D6750" w14:paraId="501E571F" w14:textId="612CC2E9" w:rsidTr="00F224E8">
        <w:trPr>
          <w:jc w:val="center"/>
        </w:trPr>
        <w:tc>
          <w:tcPr>
            <w:tcW w:w="312" w:type="pct"/>
            <w:shd w:val="clear" w:color="auto" w:fill="000000" w:themeFill="text1"/>
            <w:noWrap/>
            <w:hideMark/>
          </w:tcPr>
          <w:p w14:paraId="461BAB13" w14:textId="77777777" w:rsidR="00CD456F" w:rsidRPr="004D6750" w:rsidRDefault="00CD456F" w:rsidP="0073032D">
            <w:pPr>
              <w:spacing w:before="40" w:after="40"/>
              <w:rPr>
                <w:rFonts w:ascii="Arial" w:hAnsi="Arial" w:cs="Arial"/>
                <w:b/>
                <w:bCs/>
                <w:sz w:val="18"/>
                <w:szCs w:val="18"/>
              </w:rPr>
            </w:pPr>
            <w:r w:rsidRPr="004D6750">
              <w:rPr>
                <w:rFonts w:ascii="Arial" w:hAnsi="Arial" w:cs="Arial"/>
                <w:b/>
                <w:bCs/>
                <w:sz w:val="18"/>
                <w:szCs w:val="18"/>
              </w:rPr>
              <w:t>#</w:t>
            </w:r>
          </w:p>
        </w:tc>
        <w:tc>
          <w:tcPr>
            <w:tcW w:w="3445" w:type="pct"/>
            <w:shd w:val="clear" w:color="auto" w:fill="000000" w:themeFill="text1"/>
            <w:noWrap/>
            <w:hideMark/>
          </w:tcPr>
          <w:p w14:paraId="2E7EDE08" w14:textId="50C46850" w:rsidR="00CD456F" w:rsidRPr="004D6750" w:rsidRDefault="00CD456F" w:rsidP="0073032D">
            <w:pPr>
              <w:spacing w:before="40" w:after="40"/>
              <w:rPr>
                <w:rFonts w:ascii="Arial" w:hAnsi="Arial" w:cs="Arial"/>
                <w:b/>
                <w:bCs/>
                <w:sz w:val="18"/>
                <w:szCs w:val="18"/>
              </w:rPr>
            </w:pPr>
            <w:r w:rsidRPr="004D6750">
              <w:rPr>
                <w:rFonts w:ascii="Arial" w:hAnsi="Arial" w:cs="Arial"/>
                <w:b/>
                <w:bCs/>
                <w:sz w:val="18"/>
                <w:szCs w:val="18"/>
              </w:rPr>
              <w:t>Search Terms</w:t>
            </w:r>
          </w:p>
        </w:tc>
        <w:tc>
          <w:tcPr>
            <w:tcW w:w="622" w:type="pct"/>
            <w:shd w:val="clear" w:color="auto" w:fill="000000" w:themeFill="text1"/>
            <w:noWrap/>
            <w:hideMark/>
          </w:tcPr>
          <w:p w14:paraId="5418A27C" w14:textId="1C3CF2D2" w:rsidR="00CD456F" w:rsidRPr="004D6750" w:rsidRDefault="00947D11" w:rsidP="0073032D">
            <w:pPr>
              <w:spacing w:before="40" w:after="40"/>
              <w:rPr>
                <w:rFonts w:ascii="Arial" w:hAnsi="Arial" w:cs="Arial"/>
                <w:b/>
                <w:bCs/>
                <w:sz w:val="18"/>
                <w:szCs w:val="18"/>
              </w:rPr>
            </w:pPr>
            <w:r>
              <w:rPr>
                <w:rFonts w:ascii="Arial" w:hAnsi="Arial" w:cs="Arial"/>
                <w:b/>
                <w:bCs/>
                <w:sz w:val="18"/>
                <w:szCs w:val="18"/>
              </w:rPr>
              <w:t>25 November 2021</w:t>
            </w:r>
          </w:p>
        </w:tc>
        <w:tc>
          <w:tcPr>
            <w:tcW w:w="621" w:type="pct"/>
            <w:shd w:val="clear" w:color="auto" w:fill="000000" w:themeFill="text1"/>
          </w:tcPr>
          <w:p w14:paraId="0D3E4F45" w14:textId="1D033340" w:rsidR="00CD456F" w:rsidRPr="004D6750" w:rsidRDefault="00FB401F" w:rsidP="0073032D">
            <w:pPr>
              <w:spacing w:before="40" w:after="40"/>
              <w:rPr>
                <w:rFonts w:ascii="Arial" w:hAnsi="Arial" w:cs="Arial"/>
                <w:b/>
                <w:bCs/>
                <w:sz w:val="18"/>
                <w:szCs w:val="18"/>
              </w:rPr>
            </w:pPr>
            <w:r>
              <w:rPr>
                <w:rFonts w:ascii="Arial" w:hAnsi="Arial" w:cs="Arial"/>
                <w:b/>
                <w:bCs/>
                <w:sz w:val="18"/>
                <w:szCs w:val="18"/>
              </w:rPr>
              <w:t>24 February 2023</w:t>
            </w:r>
          </w:p>
        </w:tc>
      </w:tr>
      <w:tr w:rsidR="00947D11" w:rsidRPr="004D6750" w14:paraId="79A0FD21" w14:textId="6C2F8170" w:rsidTr="00F224E8">
        <w:trPr>
          <w:jc w:val="center"/>
        </w:trPr>
        <w:tc>
          <w:tcPr>
            <w:tcW w:w="312" w:type="pct"/>
            <w:noWrap/>
            <w:hideMark/>
          </w:tcPr>
          <w:p w14:paraId="37012591"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w:t>
            </w:r>
          </w:p>
        </w:tc>
        <w:tc>
          <w:tcPr>
            <w:tcW w:w="3445" w:type="pct"/>
            <w:noWrap/>
            <w:hideMark/>
          </w:tcPr>
          <w:p w14:paraId="420AF555"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(((treatment$ or effect$) adj modif$) or effect-modif$ or effectmodif$ or prognostic factor$ or prognostic variable$ or predictor variable$ or predictor factor$).ti,ab. </w:t>
            </w:r>
          </w:p>
        </w:tc>
        <w:tc>
          <w:tcPr>
            <w:tcW w:w="622" w:type="pct"/>
            <w:noWrap/>
            <w:hideMark/>
          </w:tcPr>
          <w:p w14:paraId="3972868F" w14:textId="7088F3DF"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335,249</w:t>
            </w:r>
          </w:p>
        </w:tc>
        <w:tc>
          <w:tcPr>
            <w:tcW w:w="621" w:type="pct"/>
          </w:tcPr>
          <w:p w14:paraId="7585A896" w14:textId="51DEF3AC"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372</w:t>
            </w:r>
            <w:r>
              <w:rPr>
                <w:rFonts w:ascii="Arial" w:hAnsi="Arial" w:cs="Arial"/>
                <w:sz w:val="18"/>
                <w:szCs w:val="18"/>
              </w:rPr>
              <w:t>,</w:t>
            </w:r>
            <w:r w:rsidRPr="00947D11">
              <w:rPr>
                <w:rFonts w:ascii="Arial" w:hAnsi="Arial" w:cs="Arial"/>
                <w:sz w:val="18"/>
                <w:szCs w:val="18"/>
              </w:rPr>
              <w:t>690</w:t>
            </w:r>
          </w:p>
        </w:tc>
      </w:tr>
      <w:tr w:rsidR="00947D11" w:rsidRPr="004D6750" w14:paraId="4773B0C6" w14:textId="5B542A1D" w:rsidTr="00F224E8">
        <w:trPr>
          <w:jc w:val="center"/>
        </w:trPr>
        <w:tc>
          <w:tcPr>
            <w:tcW w:w="312" w:type="pct"/>
            <w:noWrap/>
            <w:hideMark/>
          </w:tcPr>
          <w:p w14:paraId="301BCB62"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2</w:t>
            </w:r>
          </w:p>
        </w:tc>
        <w:tc>
          <w:tcPr>
            <w:tcW w:w="3445" w:type="pct"/>
            <w:noWrap/>
            <w:hideMark/>
          </w:tcPr>
          <w:p w14:paraId="355633C3"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(review or systematic or literature or meta-analysis or meta-analyses or metaanalysis or metaanalyses).ti. </w:t>
            </w:r>
          </w:p>
        </w:tc>
        <w:tc>
          <w:tcPr>
            <w:tcW w:w="622" w:type="pct"/>
            <w:noWrap/>
            <w:hideMark/>
          </w:tcPr>
          <w:p w14:paraId="470C8C6B" w14:textId="7D9615EF"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1,476,085</w:t>
            </w:r>
          </w:p>
        </w:tc>
        <w:tc>
          <w:tcPr>
            <w:tcW w:w="621" w:type="pct"/>
          </w:tcPr>
          <w:p w14:paraId="46E07D38" w14:textId="6407394B"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1</w:t>
            </w:r>
            <w:r>
              <w:rPr>
                <w:rFonts w:ascii="Arial" w:hAnsi="Arial" w:cs="Arial"/>
                <w:sz w:val="18"/>
                <w:szCs w:val="18"/>
              </w:rPr>
              <w:t>,</w:t>
            </w:r>
            <w:r w:rsidRPr="00947D11">
              <w:rPr>
                <w:rFonts w:ascii="Arial" w:hAnsi="Arial" w:cs="Arial"/>
                <w:sz w:val="18"/>
                <w:szCs w:val="18"/>
              </w:rPr>
              <w:t>726</w:t>
            </w:r>
            <w:r>
              <w:rPr>
                <w:rFonts w:ascii="Arial" w:hAnsi="Arial" w:cs="Arial"/>
                <w:sz w:val="18"/>
                <w:szCs w:val="18"/>
              </w:rPr>
              <w:t>,</w:t>
            </w:r>
            <w:r w:rsidRPr="00947D11">
              <w:rPr>
                <w:rFonts w:ascii="Arial" w:hAnsi="Arial" w:cs="Arial"/>
                <w:sz w:val="18"/>
                <w:szCs w:val="18"/>
              </w:rPr>
              <w:t>904</w:t>
            </w:r>
          </w:p>
        </w:tc>
      </w:tr>
      <w:tr w:rsidR="00947D11" w:rsidRPr="004D6750" w14:paraId="7871C0A6" w14:textId="423875D6" w:rsidTr="00F224E8">
        <w:trPr>
          <w:jc w:val="center"/>
        </w:trPr>
        <w:tc>
          <w:tcPr>
            <w:tcW w:w="312" w:type="pct"/>
            <w:noWrap/>
            <w:hideMark/>
          </w:tcPr>
          <w:p w14:paraId="3C5175D8"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3</w:t>
            </w:r>
          </w:p>
        </w:tc>
        <w:tc>
          <w:tcPr>
            <w:tcW w:w="3445" w:type="pct"/>
            <w:noWrap/>
            <w:hideMark/>
          </w:tcPr>
          <w:p w14:paraId="1C22B81D"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 and 2</w:t>
            </w:r>
          </w:p>
        </w:tc>
        <w:tc>
          <w:tcPr>
            <w:tcW w:w="622" w:type="pct"/>
            <w:noWrap/>
            <w:hideMark/>
          </w:tcPr>
          <w:p w14:paraId="7AFDDF70" w14:textId="61576088"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11,200</w:t>
            </w:r>
          </w:p>
        </w:tc>
        <w:tc>
          <w:tcPr>
            <w:tcW w:w="621" w:type="pct"/>
          </w:tcPr>
          <w:p w14:paraId="0B0D64DE" w14:textId="042DE99C"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13</w:t>
            </w:r>
            <w:r>
              <w:rPr>
                <w:rFonts w:ascii="Arial" w:hAnsi="Arial" w:cs="Arial"/>
                <w:sz w:val="18"/>
                <w:szCs w:val="18"/>
              </w:rPr>
              <w:t>,</w:t>
            </w:r>
            <w:r w:rsidRPr="00947D11">
              <w:rPr>
                <w:rFonts w:ascii="Arial" w:hAnsi="Arial" w:cs="Arial"/>
                <w:sz w:val="18"/>
                <w:szCs w:val="18"/>
              </w:rPr>
              <w:t>009</w:t>
            </w:r>
          </w:p>
        </w:tc>
      </w:tr>
      <w:tr w:rsidR="00947D11" w:rsidRPr="004D6750" w14:paraId="1C190896" w14:textId="315F7DA0" w:rsidTr="00F224E8">
        <w:trPr>
          <w:jc w:val="center"/>
        </w:trPr>
        <w:tc>
          <w:tcPr>
            <w:tcW w:w="312" w:type="pct"/>
            <w:noWrap/>
            <w:hideMark/>
          </w:tcPr>
          <w:p w14:paraId="3EF88EF9"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4</w:t>
            </w:r>
          </w:p>
        </w:tc>
        <w:tc>
          <w:tcPr>
            <w:tcW w:w="3445" w:type="pct"/>
            <w:noWrap/>
            <w:hideMark/>
          </w:tcPr>
          <w:p w14:paraId="6091CB3C"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((multiple treatment$ or indirect or mixed or population-adjusted or matching-adjusted or simulated treatment) adj2 comparison$).ti,ab. </w:t>
            </w:r>
          </w:p>
        </w:tc>
        <w:tc>
          <w:tcPr>
            <w:tcW w:w="622" w:type="pct"/>
            <w:noWrap/>
            <w:hideMark/>
          </w:tcPr>
          <w:p w14:paraId="542EA266" w14:textId="5898509B"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9,367</w:t>
            </w:r>
          </w:p>
        </w:tc>
        <w:tc>
          <w:tcPr>
            <w:tcW w:w="621" w:type="pct"/>
          </w:tcPr>
          <w:p w14:paraId="37634069" w14:textId="7067C6B5"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10</w:t>
            </w:r>
            <w:r>
              <w:rPr>
                <w:rFonts w:ascii="Arial" w:hAnsi="Arial" w:cs="Arial"/>
                <w:sz w:val="18"/>
                <w:szCs w:val="18"/>
              </w:rPr>
              <w:t>,</w:t>
            </w:r>
            <w:r w:rsidRPr="00947D11">
              <w:rPr>
                <w:rFonts w:ascii="Arial" w:hAnsi="Arial" w:cs="Arial"/>
                <w:sz w:val="18"/>
                <w:szCs w:val="18"/>
              </w:rPr>
              <w:t>730</w:t>
            </w:r>
          </w:p>
        </w:tc>
      </w:tr>
      <w:tr w:rsidR="00947D11" w:rsidRPr="004D6750" w14:paraId="2F9E2638" w14:textId="5E09CDD3" w:rsidTr="00F224E8">
        <w:trPr>
          <w:jc w:val="center"/>
        </w:trPr>
        <w:tc>
          <w:tcPr>
            <w:tcW w:w="312" w:type="pct"/>
            <w:noWrap/>
            <w:hideMark/>
          </w:tcPr>
          <w:p w14:paraId="076B1AB1"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5</w:t>
            </w:r>
          </w:p>
        </w:tc>
        <w:tc>
          <w:tcPr>
            <w:tcW w:w="3445" w:type="pct"/>
            <w:noWrap/>
            <w:hideMark/>
          </w:tcPr>
          <w:p w14:paraId="32EBB49F"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("network meta-analysis" or "network meta-analyses" or "network metaanalysis" or "network metanalayses").ti,ab. </w:t>
            </w:r>
          </w:p>
        </w:tc>
        <w:tc>
          <w:tcPr>
            <w:tcW w:w="622" w:type="pct"/>
            <w:noWrap/>
            <w:hideMark/>
          </w:tcPr>
          <w:p w14:paraId="177CF3B5" w14:textId="468E9C5E"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15,321</w:t>
            </w:r>
          </w:p>
        </w:tc>
        <w:tc>
          <w:tcPr>
            <w:tcW w:w="621" w:type="pct"/>
          </w:tcPr>
          <w:p w14:paraId="392A0832" w14:textId="583F0111"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20</w:t>
            </w:r>
            <w:r>
              <w:rPr>
                <w:rFonts w:ascii="Arial" w:hAnsi="Arial" w:cs="Arial"/>
                <w:sz w:val="18"/>
                <w:szCs w:val="18"/>
              </w:rPr>
              <w:t>,</w:t>
            </w:r>
            <w:r w:rsidRPr="00947D11">
              <w:rPr>
                <w:rFonts w:ascii="Arial" w:hAnsi="Arial" w:cs="Arial"/>
                <w:sz w:val="18"/>
                <w:szCs w:val="18"/>
              </w:rPr>
              <w:t>864</w:t>
            </w:r>
          </w:p>
        </w:tc>
      </w:tr>
      <w:tr w:rsidR="00947D11" w:rsidRPr="004D6750" w14:paraId="2E5C10E8" w14:textId="12D65081" w:rsidTr="00F224E8">
        <w:trPr>
          <w:jc w:val="center"/>
        </w:trPr>
        <w:tc>
          <w:tcPr>
            <w:tcW w:w="312" w:type="pct"/>
            <w:noWrap/>
            <w:hideMark/>
          </w:tcPr>
          <w:p w14:paraId="612D0669"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6</w:t>
            </w:r>
          </w:p>
        </w:tc>
        <w:tc>
          <w:tcPr>
            <w:tcW w:w="3445" w:type="pct"/>
            <w:noWrap/>
            <w:hideMark/>
          </w:tcPr>
          <w:p w14:paraId="175BE2B5"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(meta regression$ or metaregression$).ti,ab. </w:t>
            </w:r>
          </w:p>
        </w:tc>
        <w:tc>
          <w:tcPr>
            <w:tcW w:w="622" w:type="pct"/>
            <w:noWrap/>
            <w:hideMark/>
          </w:tcPr>
          <w:p w14:paraId="3B14F732" w14:textId="10F95C50"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25,509</w:t>
            </w:r>
          </w:p>
        </w:tc>
        <w:tc>
          <w:tcPr>
            <w:tcW w:w="621" w:type="pct"/>
          </w:tcPr>
          <w:p w14:paraId="42DB115F" w14:textId="0418D800"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31</w:t>
            </w:r>
            <w:r>
              <w:rPr>
                <w:rFonts w:ascii="Arial" w:hAnsi="Arial" w:cs="Arial"/>
                <w:sz w:val="18"/>
                <w:szCs w:val="18"/>
              </w:rPr>
              <w:t>,</w:t>
            </w:r>
            <w:r w:rsidRPr="00947D11">
              <w:rPr>
                <w:rFonts w:ascii="Arial" w:hAnsi="Arial" w:cs="Arial"/>
                <w:sz w:val="18"/>
                <w:szCs w:val="18"/>
              </w:rPr>
              <w:t>662</w:t>
            </w:r>
          </w:p>
        </w:tc>
      </w:tr>
      <w:tr w:rsidR="00947D11" w:rsidRPr="004D6750" w14:paraId="442DAB2F" w14:textId="40748A71" w:rsidTr="00F224E8">
        <w:trPr>
          <w:jc w:val="center"/>
        </w:trPr>
        <w:tc>
          <w:tcPr>
            <w:tcW w:w="312" w:type="pct"/>
            <w:noWrap/>
            <w:hideMark/>
          </w:tcPr>
          <w:p w14:paraId="1D0162A9"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7</w:t>
            </w:r>
          </w:p>
        </w:tc>
        <w:tc>
          <w:tcPr>
            <w:tcW w:w="3445" w:type="pct"/>
            <w:noWrap/>
            <w:hideMark/>
          </w:tcPr>
          <w:p w14:paraId="5932A0B8"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(comparative efficacy or comparative effectiveness).ti,ab. </w:t>
            </w:r>
          </w:p>
        </w:tc>
        <w:tc>
          <w:tcPr>
            <w:tcW w:w="622" w:type="pct"/>
            <w:noWrap/>
            <w:hideMark/>
          </w:tcPr>
          <w:p w14:paraId="064C9CF2" w14:textId="271D3EEB"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31,340</w:t>
            </w:r>
          </w:p>
        </w:tc>
        <w:tc>
          <w:tcPr>
            <w:tcW w:w="621" w:type="pct"/>
          </w:tcPr>
          <w:p w14:paraId="51EFF168" w14:textId="48231DEA"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35</w:t>
            </w:r>
            <w:r>
              <w:rPr>
                <w:rFonts w:ascii="Arial" w:hAnsi="Arial" w:cs="Arial"/>
                <w:sz w:val="18"/>
                <w:szCs w:val="18"/>
              </w:rPr>
              <w:t>,</w:t>
            </w:r>
            <w:r w:rsidRPr="00947D11">
              <w:rPr>
                <w:rFonts w:ascii="Arial" w:hAnsi="Arial" w:cs="Arial"/>
                <w:sz w:val="18"/>
                <w:szCs w:val="18"/>
              </w:rPr>
              <w:t>582</w:t>
            </w:r>
          </w:p>
        </w:tc>
      </w:tr>
      <w:tr w:rsidR="00947D11" w:rsidRPr="004D6750" w14:paraId="562B6DB7" w14:textId="483A33B2" w:rsidTr="00F224E8">
        <w:trPr>
          <w:jc w:val="center"/>
        </w:trPr>
        <w:tc>
          <w:tcPr>
            <w:tcW w:w="312" w:type="pct"/>
            <w:noWrap/>
            <w:hideMark/>
          </w:tcPr>
          <w:p w14:paraId="270CF78D"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8</w:t>
            </w:r>
          </w:p>
        </w:tc>
        <w:tc>
          <w:tcPr>
            <w:tcW w:w="3445" w:type="pct"/>
            <w:noWrap/>
            <w:hideMark/>
          </w:tcPr>
          <w:p w14:paraId="3781AF05"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or/4-7 </w:t>
            </w:r>
          </w:p>
        </w:tc>
        <w:tc>
          <w:tcPr>
            <w:tcW w:w="622" w:type="pct"/>
            <w:noWrap/>
            <w:hideMark/>
          </w:tcPr>
          <w:p w14:paraId="052421A5" w14:textId="6676BD22"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74,890</w:t>
            </w:r>
          </w:p>
        </w:tc>
        <w:tc>
          <w:tcPr>
            <w:tcW w:w="621" w:type="pct"/>
          </w:tcPr>
          <w:p w14:paraId="7BDE0003" w14:textId="063F7067"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90</w:t>
            </w:r>
            <w:r>
              <w:rPr>
                <w:rFonts w:ascii="Arial" w:hAnsi="Arial" w:cs="Arial"/>
                <w:sz w:val="18"/>
                <w:szCs w:val="18"/>
              </w:rPr>
              <w:t>,</w:t>
            </w:r>
            <w:r w:rsidRPr="00947D11">
              <w:rPr>
                <w:rFonts w:ascii="Arial" w:hAnsi="Arial" w:cs="Arial"/>
                <w:sz w:val="18"/>
                <w:szCs w:val="18"/>
              </w:rPr>
              <w:t>470</w:t>
            </w:r>
          </w:p>
        </w:tc>
      </w:tr>
      <w:tr w:rsidR="00947D11" w:rsidRPr="004D6750" w14:paraId="201C414B" w14:textId="17C0A25E" w:rsidTr="00F224E8">
        <w:trPr>
          <w:jc w:val="center"/>
        </w:trPr>
        <w:tc>
          <w:tcPr>
            <w:tcW w:w="312" w:type="pct"/>
            <w:noWrap/>
            <w:hideMark/>
          </w:tcPr>
          <w:p w14:paraId="5B1CD6DA"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9</w:t>
            </w:r>
          </w:p>
        </w:tc>
        <w:tc>
          <w:tcPr>
            <w:tcW w:w="3445" w:type="pct"/>
            <w:noWrap/>
            <w:hideMark/>
          </w:tcPr>
          <w:p w14:paraId="7C6B4D12"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3 and 8</w:t>
            </w:r>
          </w:p>
        </w:tc>
        <w:tc>
          <w:tcPr>
            <w:tcW w:w="622" w:type="pct"/>
            <w:noWrap/>
            <w:hideMark/>
          </w:tcPr>
          <w:p w14:paraId="3B78B09D"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727</w:t>
            </w:r>
          </w:p>
        </w:tc>
        <w:tc>
          <w:tcPr>
            <w:tcW w:w="621" w:type="pct"/>
          </w:tcPr>
          <w:p w14:paraId="5421A160" w14:textId="7848663A"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894</w:t>
            </w:r>
          </w:p>
        </w:tc>
      </w:tr>
      <w:tr w:rsidR="00947D11" w:rsidRPr="004D6750" w14:paraId="655058B1" w14:textId="3C9907A5" w:rsidTr="00F224E8">
        <w:trPr>
          <w:jc w:val="center"/>
        </w:trPr>
        <w:tc>
          <w:tcPr>
            <w:tcW w:w="312" w:type="pct"/>
            <w:noWrap/>
            <w:hideMark/>
          </w:tcPr>
          <w:p w14:paraId="77018DF2"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10</w:t>
            </w:r>
          </w:p>
        </w:tc>
        <w:tc>
          <w:tcPr>
            <w:tcW w:w="3445" w:type="pct"/>
            <w:noWrap/>
            <w:hideMark/>
          </w:tcPr>
          <w:p w14:paraId="11AF637E"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limit 9 to english language </w:t>
            </w:r>
          </w:p>
        </w:tc>
        <w:tc>
          <w:tcPr>
            <w:tcW w:w="622" w:type="pct"/>
            <w:noWrap/>
            <w:hideMark/>
          </w:tcPr>
          <w:p w14:paraId="1088A5E1"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721</w:t>
            </w:r>
          </w:p>
        </w:tc>
        <w:tc>
          <w:tcPr>
            <w:tcW w:w="621" w:type="pct"/>
          </w:tcPr>
          <w:p w14:paraId="55C70741" w14:textId="0C86C785"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888</w:t>
            </w:r>
          </w:p>
        </w:tc>
      </w:tr>
      <w:tr w:rsidR="00947D11" w:rsidRPr="004D6750" w14:paraId="3EE22E42" w14:textId="04CBB246" w:rsidTr="00F224E8">
        <w:trPr>
          <w:jc w:val="center"/>
        </w:trPr>
        <w:tc>
          <w:tcPr>
            <w:tcW w:w="312" w:type="pct"/>
            <w:noWrap/>
            <w:hideMark/>
          </w:tcPr>
          <w:p w14:paraId="566761BB"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11</w:t>
            </w:r>
          </w:p>
        </w:tc>
        <w:tc>
          <w:tcPr>
            <w:tcW w:w="3445" w:type="pct"/>
            <w:noWrap/>
            <w:hideMark/>
          </w:tcPr>
          <w:p w14:paraId="571D1E32"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 xml:space="preserve">remove duplicates from 10 </w:t>
            </w:r>
          </w:p>
        </w:tc>
        <w:tc>
          <w:tcPr>
            <w:tcW w:w="622" w:type="pct"/>
            <w:noWrap/>
            <w:hideMark/>
          </w:tcPr>
          <w:p w14:paraId="131C4726" w14:textId="77777777" w:rsidR="00947D11" w:rsidRPr="004D6750" w:rsidRDefault="00947D11" w:rsidP="00947D11">
            <w:pPr>
              <w:spacing w:before="40" w:after="40"/>
              <w:rPr>
                <w:rFonts w:ascii="Arial" w:hAnsi="Arial" w:cs="Arial"/>
                <w:sz w:val="18"/>
                <w:szCs w:val="18"/>
              </w:rPr>
            </w:pPr>
            <w:r w:rsidRPr="004D6750">
              <w:rPr>
                <w:rFonts w:ascii="Arial" w:hAnsi="Arial" w:cs="Arial"/>
                <w:sz w:val="18"/>
                <w:szCs w:val="18"/>
              </w:rPr>
              <w:t>420</w:t>
            </w:r>
          </w:p>
        </w:tc>
        <w:tc>
          <w:tcPr>
            <w:tcW w:w="621" w:type="pct"/>
          </w:tcPr>
          <w:p w14:paraId="1582EC5E" w14:textId="50777F09" w:rsidR="00947D11" w:rsidRPr="004D6750" w:rsidRDefault="00947D11" w:rsidP="00947D11">
            <w:pPr>
              <w:spacing w:before="40" w:after="40"/>
              <w:rPr>
                <w:rFonts w:ascii="Arial" w:hAnsi="Arial" w:cs="Arial"/>
                <w:sz w:val="18"/>
                <w:szCs w:val="18"/>
              </w:rPr>
            </w:pPr>
            <w:r w:rsidRPr="00947D11">
              <w:rPr>
                <w:rFonts w:ascii="Arial" w:hAnsi="Arial" w:cs="Arial"/>
                <w:sz w:val="18"/>
                <w:szCs w:val="18"/>
              </w:rPr>
              <w:t>5</w:t>
            </w:r>
            <w:r>
              <w:rPr>
                <w:rFonts w:ascii="Arial" w:hAnsi="Arial" w:cs="Arial"/>
                <w:sz w:val="18"/>
                <w:szCs w:val="18"/>
              </w:rPr>
              <w:t>11</w:t>
            </w:r>
          </w:p>
        </w:tc>
      </w:tr>
    </w:tbl>
    <w:p w14:paraId="5265C057" w14:textId="77777777" w:rsidR="004F0346" w:rsidRPr="004D6750" w:rsidRDefault="004F0346" w:rsidP="0039075C">
      <w:pPr>
        <w:rPr>
          <w:rFonts w:ascii="Arial" w:hAnsi="Arial" w:cs="Arial"/>
        </w:rPr>
      </w:pPr>
    </w:p>
    <w:p w14:paraId="033977C9" w14:textId="3554FE4B" w:rsidR="00684651" w:rsidRPr="004D6750" w:rsidRDefault="00684651" w:rsidP="00684651">
      <w:pPr>
        <w:pStyle w:val="Caption"/>
        <w:keepNext/>
        <w:rPr>
          <w:rFonts w:ascii="Arial" w:hAnsi="Arial" w:cs="Arial"/>
        </w:rPr>
      </w:pPr>
      <w:r w:rsidRPr="004D6750">
        <w:rPr>
          <w:rFonts w:ascii="Arial" w:hAnsi="Arial" w:cs="Arial"/>
        </w:rPr>
        <w:t xml:space="preserve">Supplementary Table </w:t>
      </w:r>
      <w:r w:rsidRPr="004D6750">
        <w:rPr>
          <w:rFonts w:ascii="Arial" w:hAnsi="Arial" w:cs="Arial"/>
        </w:rPr>
        <w:fldChar w:fldCharType="begin"/>
      </w:r>
      <w:r w:rsidRPr="004D6750">
        <w:rPr>
          <w:rFonts w:ascii="Arial" w:hAnsi="Arial" w:cs="Arial"/>
        </w:rPr>
        <w:instrText>SEQ Supplementary_Table \* ARABIC</w:instrText>
      </w:r>
      <w:r w:rsidRPr="004D6750">
        <w:rPr>
          <w:rFonts w:ascii="Arial" w:hAnsi="Arial" w:cs="Arial"/>
        </w:rPr>
        <w:fldChar w:fldCharType="separate"/>
      </w:r>
      <w:r w:rsidRPr="004D6750">
        <w:rPr>
          <w:rFonts w:ascii="Arial" w:hAnsi="Arial" w:cs="Arial"/>
          <w:noProof/>
        </w:rPr>
        <w:t>2</w:t>
      </w:r>
      <w:r w:rsidRPr="004D6750">
        <w:rPr>
          <w:rFonts w:ascii="Arial" w:hAnsi="Arial" w:cs="Arial"/>
        </w:rPr>
        <w:fldChar w:fldCharType="end"/>
      </w:r>
      <w:r w:rsidRPr="004D6750">
        <w:rPr>
          <w:rFonts w:ascii="Arial" w:hAnsi="Arial" w:cs="Arial"/>
        </w:rPr>
        <w:t xml:space="preserve">. </w:t>
      </w:r>
      <w:r w:rsidR="000C27AE" w:rsidRPr="004D6750">
        <w:rPr>
          <w:rFonts w:ascii="Arial" w:hAnsi="Arial" w:cs="Arial"/>
        </w:rPr>
        <w:t xml:space="preserve">Health Technology Assessment </w:t>
      </w:r>
      <w:r w:rsidRPr="004D6750">
        <w:rPr>
          <w:rFonts w:ascii="Arial" w:hAnsi="Arial" w:cs="Arial"/>
        </w:rPr>
        <w:t>Submission Search Strategy</w:t>
      </w:r>
    </w:p>
    <w:tbl>
      <w:tblPr>
        <w:tblStyle w:val="TableGrid"/>
        <w:tblW w:w="0" w:type="auto"/>
        <w:tblLook w:val="04A0" w:firstRow="1" w:lastRow="0" w:firstColumn="1" w:lastColumn="0" w:noHBand="0" w:noVBand="1"/>
      </w:tblPr>
      <w:tblGrid>
        <w:gridCol w:w="1271"/>
        <w:gridCol w:w="7745"/>
      </w:tblGrid>
      <w:tr w:rsidR="00973CE8" w:rsidRPr="004D6750" w14:paraId="4588771C" w14:textId="77777777" w:rsidTr="00684651">
        <w:tc>
          <w:tcPr>
            <w:tcW w:w="1271" w:type="dxa"/>
            <w:shd w:val="clear" w:color="auto" w:fill="000000" w:themeFill="text1"/>
          </w:tcPr>
          <w:p w14:paraId="2ABACCEB" w14:textId="09386C41" w:rsidR="00973CE8" w:rsidRPr="004D6750" w:rsidRDefault="00973CE8" w:rsidP="0073032D">
            <w:pPr>
              <w:spacing w:before="40" w:after="40"/>
              <w:rPr>
                <w:rFonts w:ascii="Arial" w:hAnsi="Arial" w:cs="Arial"/>
                <w:b/>
                <w:bCs/>
                <w:sz w:val="18"/>
                <w:szCs w:val="18"/>
              </w:rPr>
            </w:pPr>
            <w:r w:rsidRPr="004D6750">
              <w:rPr>
                <w:rFonts w:ascii="Arial" w:hAnsi="Arial" w:cs="Arial"/>
                <w:b/>
                <w:bCs/>
                <w:sz w:val="18"/>
                <w:szCs w:val="18"/>
              </w:rPr>
              <w:t>HTA Body</w:t>
            </w:r>
          </w:p>
        </w:tc>
        <w:tc>
          <w:tcPr>
            <w:tcW w:w="7745" w:type="dxa"/>
            <w:shd w:val="clear" w:color="auto" w:fill="000000" w:themeFill="text1"/>
          </w:tcPr>
          <w:p w14:paraId="5B542125" w14:textId="16AD292D" w:rsidR="00973CE8" w:rsidRPr="004D6750" w:rsidRDefault="00973CE8" w:rsidP="0073032D">
            <w:pPr>
              <w:spacing w:before="40" w:after="40"/>
              <w:rPr>
                <w:rFonts w:ascii="Arial" w:hAnsi="Arial" w:cs="Arial"/>
                <w:b/>
                <w:bCs/>
                <w:sz w:val="18"/>
                <w:szCs w:val="18"/>
              </w:rPr>
            </w:pPr>
            <w:r w:rsidRPr="004D6750">
              <w:rPr>
                <w:rFonts w:ascii="Arial" w:hAnsi="Arial" w:cs="Arial"/>
                <w:b/>
                <w:bCs/>
                <w:sz w:val="18"/>
                <w:szCs w:val="18"/>
              </w:rPr>
              <w:t>Search Approach</w:t>
            </w:r>
          </w:p>
        </w:tc>
      </w:tr>
      <w:tr w:rsidR="00973CE8" w:rsidRPr="004D6750" w14:paraId="34D67F60" w14:textId="77777777" w:rsidTr="00684651">
        <w:tc>
          <w:tcPr>
            <w:tcW w:w="1271" w:type="dxa"/>
          </w:tcPr>
          <w:p w14:paraId="1F4E51E1" w14:textId="0406190E" w:rsidR="00973CE8" w:rsidRPr="004D6750" w:rsidRDefault="00973CE8" w:rsidP="0073032D">
            <w:pPr>
              <w:spacing w:before="40" w:after="40"/>
              <w:rPr>
                <w:rFonts w:ascii="Arial" w:hAnsi="Arial" w:cs="Arial"/>
                <w:sz w:val="18"/>
                <w:szCs w:val="18"/>
              </w:rPr>
            </w:pPr>
            <w:r w:rsidRPr="004D6750">
              <w:rPr>
                <w:rFonts w:ascii="Arial" w:hAnsi="Arial" w:cs="Arial"/>
                <w:sz w:val="18"/>
                <w:szCs w:val="18"/>
              </w:rPr>
              <w:t>CADTH</w:t>
            </w:r>
          </w:p>
        </w:tc>
        <w:tc>
          <w:tcPr>
            <w:tcW w:w="7745" w:type="dxa"/>
          </w:tcPr>
          <w:p w14:paraId="1AD0AF4A" w14:textId="77777777" w:rsidR="00A11F3F" w:rsidRPr="004D6750" w:rsidRDefault="000211E9" w:rsidP="0073032D">
            <w:pPr>
              <w:spacing w:before="40" w:after="40"/>
              <w:rPr>
                <w:rFonts w:ascii="Arial" w:hAnsi="Arial" w:cs="Arial"/>
                <w:sz w:val="18"/>
                <w:szCs w:val="18"/>
              </w:rPr>
            </w:pPr>
            <w:r w:rsidRPr="004D6750">
              <w:rPr>
                <w:rFonts w:ascii="Arial" w:hAnsi="Arial" w:cs="Arial"/>
                <w:sz w:val="18"/>
                <w:szCs w:val="18"/>
              </w:rPr>
              <w:t>Selected ‘Reimbursement Review’ under ‘Reports’</w:t>
            </w:r>
            <w:r w:rsidR="00E4302C" w:rsidRPr="004D6750">
              <w:rPr>
                <w:rFonts w:ascii="Arial" w:hAnsi="Arial" w:cs="Arial"/>
                <w:sz w:val="18"/>
                <w:szCs w:val="18"/>
              </w:rPr>
              <w:t xml:space="preserve"> and downloaded </w:t>
            </w:r>
            <w:r w:rsidR="00AD2C3C" w:rsidRPr="004D6750">
              <w:rPr>
                <w:rFonts w:ascii="Arial" w:hAnsi="Arial" w:cs="Arial"/>
                <w:sz w:val="18"/>
                <w:szCs w:val="18"/>
              </w:rPr>
              <w:t>the full list of reimbursement submissions as a Microsoft Excel file</w:t>
            </w:r>
            <w:r w:rsidRPr="004D6750">
              <w:rPr>
                <w:rFonts w:ascii="Arial" w:hAnsi="Arial" w:cs="Arial"/>
                <w:sz w:val="18"/>
                <w:szCs w:val="18"/>
              </w:rPr>
              <w:t>.</w:t>
            </w:r>
          </w:p>
          <w:p w14:paraId="269FAC04" w14:textId="5AE723E3" w:rsidR="006B7E50" w:rsidRPr="004D6750" w:rsidRDefault="002319E5" w:rsidP="0073032D">
            <w:pPr>
              <w:pStyle w:val="ListParagraph"/>
              <w:numPr>
                <w:ilvl w:val="0"/>
                <w:numId w:val="7"/>
              </w:numPr>
              <w:spacing w:before="40" w:after="40"/>
              <w:rPr>
                <w:rFonts w:ascii="Arial" w:hAnsi="Arial" w:cs="Arial"/>
                <w:sz w:val="18"/>
                <w:szCs w:val="18"/>
              </w:rPr>
            </w:pPr>
            <w:r w:rsidRPr="004D6750">
              <w:rPr>
                <w:rFonts w:ascii="Arial" w:hAnsi="Arial" w:cs="Arial"/>
                <w:sz w:val="18"/>
                <w:szCs w:val="18"/>
              </w:rPr>
              <w:t>Filtered for ‘lung’, ‘NSCLC’, non-small-cell’, ‘non small cell’</w:t>
            </w:r>
            <w:r w:rsidR="00CC1BD6" w:rsidRPr="004D6750">
              <w:rPr>
                <w:rFonts w:ascii="Arial" w:hAnsi="Arial" w:cs="Arial"/>
                <w:sz w:val="18"/>
                <w:szCs w:val="18"/>
              </w:rPr>
              <w:t>, and ‘psoriasis’ as therapeutic indication.</w:t>
            </w:r>
          </w:p>
          <w:p w14:paraId="13672BDD" w14:textId="3FEEC0E4" w:rsidR="00CC1BD6" w:rsidRPr="004D6750" w:rsidRDefault="00CC1BD6" w:rsidP="0073032D">
            <w:pPr>
              <w:pStyle w:val="ListParagraph"/>
              <w:numPr>
                <w:ilvl w:val="0"/>
                <w:numId w:val="7"/>
              </w:numPr>
              <w:spacing w:before="40" w:after="40"/>
              <w:rPr>
                <w:rFonts w:ascii="Arial" w:hAnsi="Arial" w:cs="Arial"/>
                <w:sz w:val="18"/>
                <w:szCs w:val="18"/>
              </w:rPr>
            </w:pPr>
            <w:r w:rsidRPr="004D6750">
              <w:rPr>
                <w:rFonts w:ascii="Arial" w:hAnsi="Arial" w:cs="Arial"/>
                <w:sz w:val="18"/>
                <w:szCs w:val="18"/>
              </w:rPr>
              <w:t>Filtered for submissions that were either active, completed</w:t>
            </w:r>
            <w:r w:rsidR="00A404B3" w:rsidRPr="004D6750">
              <w:rPr>
                <w:rFonts w:ascii="Arial" w:hAnsi="Arial" w:cs="Arial"/>
                <w:sz w:val="18"/>
                <w:szCs w:val="18"/>
              </w:rPr>
              <w:t>, pending or received. Submissions for which no status information was available were also reviewed.</w:t>
            </w:r>
          </w:p>
          <w:p w14:paraId="1AA7DD03" w14:textId="62247C15" w:rsidR="008061CA" w:rsidRPr="004D6750" w:rsidRDefault="00AD2C3C" w:rsidP="0073032D">
            <w:pPr>
              <w:pStyle w:val="ListParagraph"/>
              <w:numPr>
                <w:ilvl w:val="0"/>
                <w:numId w:val="7"/>
              </w:numPr>
              <w:spacing w:before="40" w:after="40"/>
              <w:rPr>
                <w:rFonts w:ascii="Arial" w:hAnsi="Arial" w:cs="Arial"/>
                <w:sz w:val="18"/>
                <w:szCs w:val="18"/>
              </w:rPr>
            </w:pPr>
            <w:r w:rsidRPr="004D6750">
              <w:rPr>
                <w:rFonts w:ascii="Arial" w:hAnsi="Arial" w:cs="Arial"/>
                <w:sz w:val="18"/>
                <w:szCs w:val="18"/>
              </w:rPr>
              <w:t>Filter</w:t>
            </w:r>
            <w:r w:rsidR="00A11F3F" w:rsidRPr="004D6750">
              <w:rPr>
                <w:rFonts w:ascii="Arial" w:hAnsi="Arial" w:cs="Arial"/>
                <w:sz w:val="18"/>
                <w:szCs w:val="18"/>
              </w:rPr>
              <w:t xml:space="preserve">ed by </w:t>
            </w:r>
            <w:r w:rsidR="00E4155B" w:rsidRPr="004D6750">
              <w:rPr>
                <w:rFonts w:ascii="Arial" w:hAnsi="Arial" w:cs="Arial"/>
                <w:sz w:val="18"/>
                <w:szCs w:val="18"/>
              </w:rPr>
              <w:t>the date of the recommendation issues (2015 onwards)</w:t>
            </w:r>
            <w:r w:rsidR="00684651" w:rsidRPr="004D6750">
              <w:rPr>
                <w:rFonts w:ascii="Arial" w:hAnsi="Arial" w:cs="Arial"/>
                <w:sz w:val="18"/>
                <w:szCs w:val="18"/>
              </w:rPr>
              <w:t>. Submissions for which no date information was available were also reviewed.</w:t>
            </w:r>
          </w:p>
        </w:tc>
      </w:tr>
      <w:tr w:rsidR="00973CE8" w:rsidRPr="004D6750" w14:paraId="5DEFCC37" w14:textId="77777777" w:rsidTr="00684651">
        <w:tc>
          <w:tcPr>
            <w:tcW w:w="1271" w:type="dxa"/>
          </w:tcPr>
          <w:p w14:paraId="23E16410" w14:textId="4CC01E95" w:rsidR="00973CE8" w:rsidRPr="004D6750" w:rsidRDefault="00973CE8" w:rsidP="0073032D">
            <w:pPr>
              <w:spacing w:before="40" w:after="40"/>
              <w:rPr>
                <w:rFonts w:ascii="Arial" w:hAnsi="Arial" w:cs="Arial"/>
                <w:sz w:val="18"/>
                <w:szCs w:val="18"/>
              </w:rPr>
            </w:pPr>
            <w:r w:rsidRPr="004D6750">
              <w:rPr>
                <w:rFonts w:ascii="Arial" w:hAnsi="Arial" w:cs="Arial"/>
                <w:sz w:val="18"/>
                <w:szCs w:val="18"/>
              </w:rPr>
              <w:t>NICE</w:t>
            </w:r>
          </w:p>
        </w:tc>
        <w:tc>
          <w:tcPr>
            <w:tcW w:w="7745" w:type="dxa"/>
          </w:tcPr>
          <w:p w14:paraId="7A8D2A4B" w14:textId="2CBFB023" w:rsidR="006339D7" w:rsidRPr="004D6750" w:rsidRDefault="006339D7" w:rsidP="0073032D">
            <w:pPr>
              <w:pStyle w:val="ListParagraph"/>
              <w:numPr>
                <w:ilvl w:val="0"/>
                <w:numId w:val="7"/>
              </w:numPr>
              <w:spacing w:before="40" w:after="40"/>
              <w:rPr>
                <w:rFonts w:ascii="Arial" w:hAnsi="Arial" w:cs="Arial"/>
                <w:sz w:val="18"/>
                <w:szCs w:val="18"/>
              </w:rPr>
            </w:pPr>
            <w:r w:rsidRPr="004D6750">
              <w:rPr>
                <w:rFonts w:ascii="Arial" w:hAnsi="Arial" w:cs="Arial"/>
                <w:sz w:val="18"/>
                <w:szCs w:val="18"/>
              </w:rPr>
              <w:t xml:space="preserve">Reviewed </w:t>
            </w:r>
            <w:r w:rsidR="00AD2C3C" w:rsidRPr="004D6750">
              <w:rPr>
                <w:rFonts w:ascii="Arial" w:hAnsi="Arial" w:cs="Arial"/>
                <w:sz w:val="18"/>
                <w:szCs w:val="18"/>
              </w:rPr>
              <w:t xml:space="preserve">the </w:t>
            </w:r>
            <w:r w:rsidRPr="004D6750">
              <w:rPr>
                <w:rFonts w:ascii="Arial" w:hAnsi="Arial" w:cs="Arial"/>
                <w:sz w:val="18"/>
                <w:szCs w:val="18"/>
              </w:rPr>
              <w:t>NICE pathway for ‘lung cancer’ and ‘psoriasis’</w:t>
            </w:r>
            <w:r w:rsidR="00AD2C3C" w:rsidRPr="004D6750">
              <w:rPr>
                <w:rFonts w:ascii="Arial" w:hAnsi="Arial" w:cs="Arial"/>
                <w:sz w:val="18"/>
                <w:szCs w:val="18"/>
              </w:rPr>
              <w:t>.</w:t>
            </w:r>
          </w:p>
          <w:p w14:paraId="18C879A7" w14:textId="50D4FB37" w:rsidR="00973CE8" w:rsidRPr="004D6750" w:rsidRDefault="006339D7" w:rsidP="0073032D">
            <w:pPr>
              <w:pStyle w:val="ListParagraph"/>
              <w:numPr>
                <w:ilvl w:val="0"/>
                <w:numId w:val="7"/>
              </w:numPr>
              <w:spacing w:before="40" w:after="40"/>
              <w:rPr>
                <w:rFonts w:ascii="Arial" w:hAnsi="Arial" w:cs="Arial"/>
                <w:sz w:val="18"/>
                <w:szCs w:val="18"/>
              </w:rPr>
            </w:pPr>
            <w:r w:rsidRPr="004D6750">
              <w:rPr>
                <w:rFonts w:ascii="Arial" w:hAnsi="Arial" w:cs="Arial"/>
                <w:sz w:val="18"/>
                <w:szCs w:val="18"/>
              </w:rPr>
              <w:t>Searched for ‘lung cancer’, ‘NSCLC’, and ‘psoriasis’ using the free-text search interface. Under ‘Guidance Programme’, selected the filter ‘Technology Appraisal Guidance’</w:t>
            </w:r>
            <w:r w:rsidR="00AD2C3C" w:rsidRPr="004D6750">
              <w:rPr>
                <w:rFonts w:ascii="Arial" w:hAnsi="Arial" w:cs="Arial"/>
                <w:sz w:val="18"/>
                <w:szCs w:val="18"/>
              </w:rPr>
              <w:t>.</w:t>
            </w:r>
          </w:p>
        </w:tc>
      </w:tr>
    </w:tbl>
    <w:p w14:paraId="624DD9BD" w14:textId="16B57780" w:rsidR="00973CE8" w:rsidRPr="004D6750" w:rsidRDefault="001A2299" w:rsidP="0039075C">
      <w:pPr>
        <w:rPr>
          <w:rFonts w:ascii="Arial" w:hAnsi="Arial" w:cs="Arial"/>
          <w:sz w:val="18"/>
          <w:szCs w:val="18"/>
        </w:rPr>
      </w:pPr>
      <w:r w:rsidRPr="004D6750">
        <w:rPr>
          <w:rFonts w:ascii="Arial" w:hAnsi="Arial" w:cs="Arial"/>
          <w:sz w:val="18"/>
          <w:szCs w:val="18"/>
        </w:rPr>
        <w:t>Abbreviations: CADTH = Canadian Agency for Drugs and Technologies in Health; HTA = health technology assessment; NICE = national Institute for Health and Care Excellence</w:t>
      </w:r>
    </w:p>
    <w:p w14:paraId="0322B619" w14:textId="050BB08A" w:rsidR="003F72C1" w:rsidRPr="004D6750" w:rsidRDefault="003F72C1" w:rsidP="003F72C1">
      <w:pPr>
        <w:pStyle w:val="Caption"/>
        <w:keepNext/>
        <w:rPr>
          <w:rFonts w:ascii="Arial" w:hAnsi="Arial" w:cs="Arial"/>
        </w:rPr>
      </w:pPr>
      <w:r w:rsidRPr="004D6750">
        <w:rPr>
          <w:rFonts w:ascii="Arial" w:hAnsi="Arial" w:cs="Arial"/>
        </w:rPr>
        <w:t xml:space="preserve">Supplementary Table </w:t>
      </w:r>
      <w:r w:rsidRPr="004D6750">
        <w:rPr>
          <w:rFonts w:ascii="Arial" w:hAnsi="Arial" w:cs="Arial"/>
        </w:rPr>
        <w:fldChar w:fldCharType="begin"/>
      </w:r>
      <w:r w:rsidRPr="004D6750">
        <w:rPr>
          <w:rFonts w:ascii="Arial" w:hAnsi="Arial" w:cs="Arial"/>
        </w:rPr>
        <w:instrText>SEQ Supplementary_Table \* ARABIC</w:instrText>
      </w:r>
      <w:r w:rsidRPr="004D6750">
        <w:rPr>
          <w:rFonts w:ascii="Arial" w:hAnsi="Arial" w:cs="Arial"/>
        </w:rPr>
        <w:fldChar w:fldCharType="separate"/>
      </w:r>
      <w:r>
        <w:rPr>
          <w:rFonts w:ascii="Arial" w:hAnsi="Arial" w:cs="Arial"/>
          <w:noProof/>
        </w:rPr>
        <w:t>3</w:t>
      </w:r>
      <w:r w:rsidRPr="004D6750">
        <w:rPr>
          <w:rFonts w:ascii="Arial" w:hAnsi="Arial" w:cs="Arial"/>
        </w:rPr>
        <w:fldChar w:fldCharType="end"/>
      </w:r>
      <w:r w:rsidRPr="004D6750">
        <w:rPr>
          <w:rFonts w:ascii="Arial" w:hAnsi="Arial" w:cs="Arial"/>
        </w:rPr>
        <w:t xml:space="preserve">. </w:t>
      </w:r>
      <w:r w:rsidR="007F4A8D">
        <w:rPr>
          <w:rFonts w:ascii="Arial" w:hAnsi="Arial" w:cs="Arial"/>
        </w:rPr>
        <w:t xml:space="preserve">Included Published </w:t>
      </w:r>
      <w:r w:rsidR="009B3D7E">
        <w:rPr>
          <w:rFonts w:ascii="Arial" w:hAnsi="Arial" w:cs="Arial"/>
        </w:rPr>
        <w:t>Indirect Treatment Comparisons</w:t>
      </w:r>
    </w:p>
    <w:tbl>
      <w:tblPr>
        <w:tblStyle w:val="TableGrid"/>
        <w:tblW w:w="0" w:type="auto"/>
        <w:tblLook w:val="04A0" w:firstRow="1" w:lastRow="0" w:firstColumn="1" w:lastColumn="0" w:noHBand="0" w:noVBand="1"/>
      </w:tblPr>
      <w:tblGrid>
        <w:gridCol w:w="1803"/>
        <w:gridCol w:w="1803"/>
        <w:gridCol w:w="1803"/>
        <w:gridCol w:w="1803"/>
        <w:gridCol w:w="1804"/>
      </w:tblGrid>
      <w:tr w:rsidR="00423007" w:rsidRPr="004D6750" w14:paraId="6A4694E9" w14:textId="77777777" w:rsidTr="0073032D">
        <w:trPr>
          <w:tblHeader/>
        </w:trPr>
        <w:tc>
          <w:tcPr>
            <w:tcW w:w="1803" w:type="dxa"/>
            <w:shd w:val="clear" w:color="auto" w:fill="000000" w:themeFill="text1"/>
          </w:tcPr>
          <w:p w14:paraId="4B8A4BB2" w14:textId="77777777" w:rsidR="00423007" w:rsidRPr="004D6750" w:rsidRDefault="00423007" w:rsidP="0073032D">
            <w:pPr>
              <w:spacing w:before="40" w:after="40"/>
              <w:rPr>
                <w:rFonts w:ascii="Arial" w:hAnsi="Arial" w:cs="Arial"/>
                <w:b/>
                <w:bCs/>
                <w:sz w:val="18"/>
                <w:szCs w:val="18"/>
              </w:rPr>
            </w:pPr>
            <w:r w:rsidRPr="004D6750">
              <w:rPr>
                <w:rFonts w:ascii="Arial" w:hAnsi="Arial" w:cs="Arial"/>
                <w:b/>
                <w:bCs/>
                <w:sz w:val="18"/>
                <w:szCs w:val="18"/>
              </w:rPr>
              <w:t>Author (Year)</w:t>
            </w:r>
          </w:p>
        </w:tc>
        <w:tc>
          <w:tcPr>
            <w:tcW w:w="1803" w:type="dxa"/>
            <w:shd w:val="clear" w:color="auto" w:fill="000000" w:themeFill="text1"/>
          </w:tcPr>
          <w:p w14:paraId="1386CD00" w14:textId="77777777" w:rsidR="00423007" w:rsidRPr="004D6750" w:rsidRDefault="00423007" w:rsidP="0073032D">
            <w:pPr>
              <w:spacing w:before="40" w:after="40"/>
              <w:rPr>
                <w:rFonts w:ascii="Arial" w:hAnsi="Arial" w:cs="Arial"/>
                <w:b/>
                <w:bCs/>
                <w:sz w:val="18"/>
                <w:szCs w:val="18"/>
              </w:rPr>
            </w:pPr>
            <w:r w:rsidRPr="004D6750">
              <w:rPr>
                <w:rFonts w:ascii="Arial" w:hAnsi="Arial" w:cs="Arial"/>
                <w:b/>
                <w:bCs/>
                <w:sz w:val="18"/>
                <w:szCs w:val="18"/>
              </w:rPr>
              <w:t>Article Type</w:t>
            </w:r>
          </w:p>
        </w:tc>
        <w:tc>
          <w:tcPr>
            <w:tcW w:w="1803" w:type="dxa"/>
            <w:shd w:val="clear" w:color="auto" w:fill="000000" w:themeFill="text1"/>
          </w:tcPr>
          <w:p w14:paraId="35732A9A" w14:textId="77777777" w:rsidR="00423007" w:rsidRPr="004D6750" w:rsidRDefault="00423007" w:rsidP="0073032D">
            <w:pPr>
              <w:spacing w:before="40" w:after="40"/>
              <w:rPr>
                <w:rFonts w:ascii="Arial" w:hAnsi="Arial" w:cs="Arial"/>
                <w:b/>
                <w:bCs/>
                <w:sz w:val="18"/>
                <w:szCs w:val="18"/>
              </w:rPr>
            </w:pPr>
            <w:r w:rsidRPr="004D6750">
              <w:rPr>
                <w:rFonts w:ascii="Arial" w:hAnsi="Arial" w:cs="Arial"/>
                <w:b/>
                <w:bCs/>
                <w:sz w:val="18"/>
                <w:szCs w:val="18"/>
              </w:rPr>
              <w:t>Analysis Type</w:t>
            </w:r>
          </w:p>
        </w:tc>
        <w:tc>
          <w:tcPr>
            <w:tcW w:w="1803" w:type="dxa"/>
            <w:shd w:val="clear" w:color="auto" w:fill="000000" w:themeFill="text1"/>
          </w:tcPr>
          <w:p w14:paraId="1E36393A" w14:textId="77777777" w:rsidR="00423007" w:rsidRPr="004D6750" w:rsidRDefault="00423007" w:rsidP="0073032D">
            <w:pPr>
              <w:spacing w:before="40" w:after="40"/>
              <w:rPr>
                <w:rFonts w:ascii="Arial" w:hAnsi="Arial" w:cs="Arial"/>
                <w:b/>
                <w:bCs/>
                <w:sz w:val="18"/>
                <w:szCs w:val="18"/>
              </w:rPr>
            </w:pPr>
            <w:r w:rsidRPr="004D6750">
              <w:rPr>
                <w:rFonts w:ascii="Arial" w:hAnsi="Arial" w:cs="Arial"/>
                <w:b/>
                <w:bCs/>
                <w:sz w:val="18"/>
                <w:szCs w:val="18"/>
              </w:rPr>
              <w:t>Indication</w:t>
            </w:r>
          </w:p>
        </w:tc>
        <w:tc>
          <w:tcPr>
            <w:tcW w:w="1804" w:type="dxa"/>
            <w:shd w:val="clear" w:color="auto" w:fill="000000" w:themeFill="text1"/>
          </w:tcPr>
          <w:p w14:paraId="213E3366" w14:textId="61573791" w:rsidR="00423007" w:rsidRPr="004D6750" w:rsidRDefault="00DF3E5B" w:rsidP="0073032D">
            <w:pPr>
              <w:spacing w:before="40" w:after="40"/>
              <w:rPr>
                <w:rFonts w:ascii="Arial" w:hAnsi="Arial" w:cs="Arial"/>
                <w:b/>
                <w:bCs/>
                <w:sz w:val="18"/>
                <w:szCs w:val="18"/>
              </w:rPr>
            </w:pPr>
            <w:r>
              <w:rPr>
                <w:rFonts w:ascii="Arial" w:hAnsi="Arial" w:cs="Arial"/>
                <w:b/>
                <w:bCs/>
                <w:sz w:val="18"/>
                <w:szCs w:val="18"/>
              </w:rPr>
              <w:t>Sources for EM Identification</w:t>
            </w:r>
          </w:p>
        </w:tc>
      </w:tr>
      <w:tr w:rsidR="00423007" w:rsidRPr="004D6750" w14:paraId="180A845D" w14:textId="77777777" w:rsidTr="000F6424">
        <w:tc>
          <w:tcPr>
            <w:tcW w:w="1803" w:type="dxa"/>
          </w:tcPr>
          <w:p w14:paraId="30CBAC13" w14:textId="4EFCC7BD"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Al-Moraissi (2020)</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&lt;EndNote&gt;&lt;Cite&gt;&lt;Author&gt;Al-Moraissi&lt;/Author&gt;&lt;Year&gt;2020&lt;/Year&gt;&lt;RecNum&gt;30&lt;/RecNum&gt;&lt;DisplayText&gt;[1]&lt;/DisplayText&gt;&lt;record&gt;&lt;rec-number&gt;30&lt;/rec-number&gt;&lt;foreign-keys&gt;&lt;key app="EN" db-id="rrst9wtabrazd7ezevkxtxzvtv59x9xwzdxs" timestamp="1659977941"&gt;30&lt;/key&gt;&lt;/foreign-keys&gt;&lt;ref-type name="Journal Article"&gt;17&lt;/ref-type&gt;&lt;contributors&gt;&lt;authors&gt;&lt;author&gt;Al-Moraissi, EA&lt;/author&gt;&lt;author&gt;Alkhutari, AS&lt;/author&gt;&lt;author&gt;Abotaleb, B&lt;/author&gt;&lt;author&gt;Altairi, NH&lt;/author&gt;&lt;author&gt;Del Fabbro, M&lt;/author&gt;&lt;/authors&gt;&lt;/contributors&gt;&lt;titles&gt;&lt;title&gt;Do osteoconductive bone substitutes result in similar bone regeneration for maxillary sinus augmentation when compared to osteogenic and osteoinductive bone grafts? A systematic review and frequentist network meta-analysis&lt;/title&gt;&lt;secondary-title&gt;International journal of oral and maxillofacial surgery&lt;/secondary-title&gt;&lt;/titles&gt;&lt;periodical&gt;&lt;full-title&gt;International journal of oral and maxillofacial surgery&lt;/full-title&gt;&lt;/periodical&gt;&lt;pages&gt;107-120&lt;/pages&gt;&lt;volume&gt;49&lt;/volume&gt;&lt;number&gt;1&lt;/number&gt;&lt;dates&gt;&lt;year&gt;2020&lt;/year&gt;&lt;/dates&gt;&lt;isbn&gt;0901-5027&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w:t>
            </w:r>
            <w:r w:rsidR="00233063">
              <w:rPr>
                <w:rFonts w:ascii="Arial" w:hAnsi="Arial" w:cs="Arial"/>
                <w:sz w:val="18"/>
                <w:szCs w:val="18"/>
              </w:rPr>
              <w:fldChar w:fldCharType="end"/>
            </w:r>
          </w:p>
        </w:tc>
        <w:tc>
          <w:tcPr>
            <w:tcW w:w="1803" w:type="dxa"/>
          </w:tcPr>
          <w:p w14:paraId="1095314B" w14:textId="1B8BCD89" w:rsidR="00423007" w:rsidRPr="004D6750" w:rsidRDefault="00143D8B" w:rsidP="0073032D">
            <w:pPr>
              <w:spacing w:before="40" w:after="40"/>
              <w:rPr>
                <w:rFonts w:ascii="Arial" w:hAnsi="Arial" w:cs="Arial"/>
                <w:sz w:val="18"/>
                <w:szCs w:val="18"/>
              </w:rPr>
            </w:pPr>
            <w:r>
              <w:rPr>
                <w:rFonts w:ascii="Arial" w:hAnsi="Arial" w:cs="Arial"/>
                <w:sz w:val="18"/>
                <w:szCs w:val="18"/>
              </w:rPr>
              <w:t>Article</w:t>
            </w:r>
          </w:p>
        </w:tc>
        <w:tc>
          <w:tcPr>
            <w:tcW w:w="1803" w:type="dxa"/>
          </w:tcPr>
          <w:p w14:paraId="4690BC4C"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w:t>
            </w:r>
          </w:p>
        </w:tc>
        <w:tc>
          <w:tcPr>
            <w:tcW w:w="1803" w:type="dxa"/>
          </w:tcPr>
          <w:p w14:paraId="39949656"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Maxillary sinus augmentation</w:t>
            </w:r>
          </w:p>
        </w:tc>
        <w:tc>
          <w:tcPr>
            <w:tcW w:w="1804" w:type="dxa"/>
          </w:tcPr>
          <w:p w14:paraId="14583C35"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Unclear</w:t>
            </w:r>
          </w:p>
        </w:tc>
      </w:tr>
      <w:tr w:rsidR="00423007" w:rsidRPr="004D6750" w14:paraId="0CD3A2FA" w14:textId="77777777" w:rsidTr="000F6424">
        <w:tc>
          <w:tcPr>
            <w:tcW w:w="1803" w:type="dxa"/>
          </w:tcPr>
          <w:p w14:paraId="6684A5B8" w14:textId="266E14B1"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Bourdin (2018)</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&lt;EndNote&gt;&lt;Cite&gt;&lt;Author&gt;Bourdin&lt;/Author&gt;&lt;Year&gt;2018&lt;/Year&gt;&lt;RecNum&gt;26&lt;/RecNum&gt;&lt;DisplayText&gt;[2]&lt;/DisplayText&gt;&lt;record&gt;&lt;rec-number&gt;26&lt;/rec-number&gt;&lt;foreign-keys&gt;&lt;key app="EN" db-id="rrst9wtabrazd7ezevkxtxzvtv59x9xwzdxs" timestamp="1659977866"&gt;26&lt;/key&gt;&lt;/foreign-keys&gt;&lt;ref-type name="Journal Article"&gt;17&lt;/ref-type&gt;&lt;contributors&gt;&lt;authors&gt;&lt;author&gt;Bourdin, Arnaud&lt;/author&gt;&lt;author&gt;Husereau, Don&lt;/author&gt;&lt;author&gt;Molinari, Nicolas&lt;/author&gt;&lt;author&gt;Golam, Sarowar&lt;/author&gt;&lt;author&gt;Siddiqui, Mohd Kashif&lt;/author&gt;&lt;author&gt;Lindner, Leandro&lt;/author&gt;&lt;author&gt;Xu, Xiao&lt;/author&gt;&lt;/authors&gt;&lt;/contributors&gt;&lt;titles&gt;&lt;title&gt;Matching-adjusted indirect comparison of benralizumab versus interleukin-5 inhibitors for the treatment of severe asthma: a systematic review&lt;/title&gt;&lt;secondary-title&gt;European Respiratory Journal&lt;/secondary-title&gt;&lt;/titles&gt;&lt;periodical&gt;&lt;full-title&gt;European Respiratory Journal&lt;/full-title&gt;&lt;/periodical&gt;&lt;volume&gt;52&lt;/volume&gt;&lt;number&gt;5&lt;/number&gt;&lt;dates&gt;&lt;year&gt;2018&lt;/year&gt;&lt;/dates&gt;&lt;isbn&gt;0903-1936&lt;/isbn&gt;&lt;urls&gt;&lt;/urls&gt;&lt;/record&gt;&lt;/Cite&gt;&lt;/EndNote&gt;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[2]</w:t>
            </w:r>
            <w:r w:rsidR="00233063">
              <w:rPr>
                <w:rFonts w:ascii="Arial" w:hAnsi="Arial" w:cs="Arial"/>
                <w:sz w:val="18"/>
                <w:szCs w:val="18"/>
              </w:rPr>
              <w:fldChar w:fldCharType="end"/>
            </w:r>
          </w:p>
        </w:tc>
        <w:tc>
          <w:tcPr>
            <w:tcW w:w="1803" w:type="dxa"/>
          </w:tcPr>
          <w:p w14:paraId="09D67E0E"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Article</w:t>
            </w:r>
          </w:p>
        </w:tc>
        <w:tc>
          <w:tcPr>
            <w:tcW w:w="1803" w:type="dxa"/>
          </w:tcPr>
          <w:p w14:paraId="04AE9C62"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MAIC</w:t>
            </w:r>
          </w:p>
        </w:tc>
        <w:tc>
          <w:tcPr>
            <w:tcW w:w="1803" w:type="dxa"/>
          </w:tcPr>
          <w:p w14:paraId="39B1FF0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Asthma</w:t>
            </w:r>
          </w:p>
        </w:tc>
        <w:tc>
          <w:tcPr>
            <w:tcW w:w="1804" w:type="dxa"/>
          </w:tcPr>
          <w:p w14:paraId="7C921F9C"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Unclear</w:t>
            </w:r>
          </w:p>
        </w:tc>
      </w:tr>
      <w:tr w:rsidR="00423007" w:rsidRPr="004D6750" w14:paraId="08714A2D" w14:textId="77777777" w:rsidTr="000F6424">
        <w:tc>
          <w:tcPr>
            <w:tcW w:w="1803" w:type="dxa"/>
          </w:tcPr>
          <w:p w14:paraId="2E201BAD" w14:textId="3FDFE7FE"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Cope (2015)</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&lt;EndNote&gt;&lt;Cite&gt;&lt;Author&gt;Cope&lt;/Author&gt;&lt;Year&gt;2015&lt;/Year&gt;&lt;RecNum&gt;22&lt;/RecNum&gt;&lt;DisplayText&gt;[3]&lt;/DisplayText&gt;&lt;record&gt;&lt;rec-number&gt;22&lt;/rec-number&gt;&lt;foreign-keys&gt;&lt;key app="EN" db-id="rrst9wtabrazd7ezevkxtxzvtv59x9xwzdxs" timestamp="1659977794"&gt;22&lt;/key&gt;&lt;/foreign-keys&gt;&lt;ref-type name="Journal Article"&gt;17&lt;/ref-type&gt;&lt;contributors&gt;&lt;authors&gt;&lt;author&gt;Cope, Shannon&lt;/author&gt;&lt;author&gt;Clemens, Andreas&lt;/author&gt;&lt;author&gt;Hammes, Florence&lt;/author&gt;&lt;author&gt;Noack, Herbert&lt;/author&gt;&lt;author&gt;Jansen, Jeroen P&lt;/author&gt;&lt;/authors&gt;&lt;/contributors&gt;&lt;titles&gt;&lt;title&gt;Critical appraisal of network meta-analyses evaluating the efficacy and safety of new oral anticoagulants in atrial fibrillation stroke prevention trials&lt;/title&gt;&lt;secondary-title&gt;Value in Health&lt;/secondary-title&gt;&lt;/titles&gt;&lt;periodical&gt;&lt;full-title&gt;Value in Health&lt;/full-title&gt;&lt;/periodical&gt;&lt;pages&gt;234-249&lt;/pages&gt;&lt;volume&gt;18&lt;/volume&gt;&lt;number&gt;2&lt;/number&gt;&lt;dates&gt;&lt;year&gt;2015&lt;/year&gt;&lt;/dates&gt;&lt;isbn&gt;1098-3015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[3]</w:t>
            </w:r>
            <w:r w:rsidR="00233063">
              <w:rPr>
                <w:rFonts w:ascii="Arial" w:hAnsi="Arial" w:cs="Arial"/>
                <w:sz w:val="18"/>
                <w:szCs w:val="18"/>
              </w:rPr>
              <w:fldChar w:fldCharType="end"/>
            </w:r>
          </w:p>
        </w:tc>
        <w:tc>
          <w:tcPr>
            <w:tcW w:w="1803" w:type="dxa"/>
          </w:tcPr>
          <w:p w14:paraId="20D280EF"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46A9166F"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w:t>
            </w:r>
          </w:p>
        </w:tc>
        <w:tc>
          <w:tcPr>
            <w:tcW w:w="1803" w:type="dxa"/>
          </w:tcPr>
          <w:p w14:paraId="5FCE7059"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Atrial fibrillation</w:t>
            </w:r>
          </w:p>
        </w:tc>
        <w:tc>
          <w:tcPr>
            <w:tcW w:w="1804" w:type="dxa"/>
          </w:tcPr>
          <w:p w14:paraId="0DB8DFE0"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Challenges highlighted in SLRs</w:t>
            </w:r>
          </w:p>
        </w:tc>
      </w:tr>
      <w:tr w:rsidR="00423007" w:rsidRPr="004D6750" w14:paraId="7D097152" w14:textId="77777777" w:rsidTr="000F6424">
        <w:tc>
          <w:tcPr>
            <w:tcW w:w="1803" w:type="dxa"/>
          </w:tcPr>
          <w:p w14:paraId="7D3763DB" w14:textId="395616C5"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Cope (2020)</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&lt;EndNote&gt;&lt;Cite&gt;&lt;Author&gt;Cope&lt;/Author&gt;&lt;Year&gt;2020&lt;/Year&gt;&lt;RecNum&gt;28&lt;/RecNum&gt;&lt;DisplayText&gt;[4]&lt;/DisplayText&gt;&lt;record&gt;&lt;rec-number&gt;28&lt;/rec-number&gt;&lt;foreign-keys&gt;&lt;key app="EN" db-id="rrst9wtabrazd7ezevkxtxzvtv59x9xwzdxs" timestamp="1659977914"&gt;28&lt;/key&gt;&lt;/foreign-keys&gt;&lt;ref-type name="Journal Article"&gt;17&lt;/ref-type&gt;&lt;contributors&gt;&lt;authors&gt;&lt;author&gt;Cope, Shannon&lt;/author&gt;&lt;author&gt;Toor, Kabirraaj&lt;/author&gt;&lt;author&gt;Popoff, Evan&lt;/author&gt;&lt;author&gt;Fonseca, Rafael&lt;/author&gt;&lt;author&gt;Landgren, Ola&lt;/author&gt;&lt;author&gt;Mateos, María-Victoria&lt;/author&gt;&lt;author&gt;Weisel, Katja&lt;/author&gt;&lt;author&gt;Jansen, Jeroen Paul&lt;/author&gt;&lt;/authors&gt;&lt;/contributors&gt;&lt;titles&gt;&lt;title&gt;Critical appraisal of published indirect comparisons and network meta-analyses of competing interventions for multiple myeloma&lt;/title&gt;&lt;secondary-title&gt;Value in Health&lt;/secondary-title&gt;&lt;/titles&gt;&lt;periodical&gt;&lt;full-title&gt;Value in Health&lt;/full-title&gt;&lt;/periodical&gt;&lt;pages&gt;441-450&lt;/pages&gt;&lt;volume&gt;23&lt;/volume&gt;&lt;number&gt;4&lt;/number&gt;&lt;dates&gt;&lt;year&gt;2020&lt;/year&gt;&lt;/dates&gt;&lt;isbn&gt;1098-3015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[4]</w:t>
            </w:r>
            <w:r w:rsidR="00233063">
              <w:rPr>
                <w:rFonts w:ascii="Arial" w:hAnsi="Arial" w:cs="Arial"/>
                <w:sz w:val="18"/>
                <w:szCs w:val="18"/>
              </w:rPr>
              <w:fldChar w:fldCharType="end"/>
            </w:r>
          </w:p>
        </w:tc>
        <w:tc>
          <w:tcPr>
            <w:tcW w:w="1803" w:type="dxa"/>
          </w:tcPr>
          <w:p w14:paraId="50FEBBA6"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5771A925"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 and MAIC</w:t>
            </w:r>
          </w:p>
        </w:tc>
        <w:tc>
          <w:tcPr>
            <w:tcW w:w="1803" w:type="dxa"/>
          </w:tcPr>
          <w:p w14:paraId="3E72C21D"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Multiple myeloma</w:t>
            </w:r>
          </w:p>
        </w:tc>
        <w:tc>
          <w:tcPr>
            <w:tcW w:w="1804" w:type="dxa"/>
          </w:tcPr>
          <w:p w14:paraId="538DABEC"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Expert opinion</w:t>
            </w:r>
          </w:p>
        </w:tc>
      </w:tr>
      <w:tr w:rsidR="00423007" w:rsidRPr="004D6750" w14:paraId="4455CB0E" w14:textId="77777777" w:rsidTr="000F6424">
        <w:tc>
          <w:tcPr>
            <w:tcW w:w="1803" w:type="dxa"/>
          </w:tcPr>
          <w:p w14:paraId="6E4D48E7" w14:textId="3BF6F8AC"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Furukawa (2016)</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&lt;EndNote&gt;&lt;Cite&gt;&lt;Author&gt;Furukawa&lt;/Author&gt;&lt;Year&gt;2016&lt;/Year&gt;&lt;RecNum&gt;23&lt;/RecNum&gt;&lt;DisplayText&gt;[5]&lt;/DisplayText&gt;&lt;record&gt;&lt;rec-number&gt;23&lt;/rec-number&gt;&lt;foreign-keys&gt;&lt;key app="EN" db-id="rrst9wtabrazd7ezevkxtxzvtv59x9xwzdxs" timestamp="1659977819"&gt;23&lt;/key&gt;&lt;/foreign-keys&gt;&lt;ref-type name="Journal Article"&gt;17&lt;/ref-type&gt;&lt;contributors&gt;&lt;authors&gt;&lt;author&gt;Furukawa, Toshi A&lt;/author&gt;&lt;author&gt;Schramm, Elisabeth&lt;/author&gt;&lt;author&gt;Weitz, Erica S&lt;/author&gt;&lt;author&gt;Salanti, Georgia&lt;/author&gt;&lt;author&gt;Efthimiou, Orestis&lt;/author&gt;&lt;author&gt;Michalak, Johannes&lt;/author&gt;&lt;author&gt;Watanabe, Norio&lt;/author&gt;&lt;author&gt;Cipriani, Andrea&lt;/author&gt;&lt;author&gt;Keller, Martin B&lt;/author&gt;&lt;author&gt;Kocsis, James H&lt;/author&gt;&lt;/authors&gt;&lt;/contributors&gt;&lt;titles&gt;&lt;title&gt;Cognitive-Behavioural Analysis System of Psychotherapy (CBASP), a drug, or their combination: differential therapeutics for persistent depressive disorder: a study protocol of an individual participant data network meta-analysis&lt;/title&gt;&lt;secondary-title&gt;BMJ open&lt;/secondary-title&gt;&lt;/titles&gt;&lt;periodical&gt;&lt;full-title&gt;BMJ open&lt;/full-title&gt;&lt;/periodical&gt;&lt;pages&gt;e011769&lt;/pages&gt;&lt;volume&gt;6&lt;/volume&gt;&lt;number&gt;5&lt;/number&gt;&lt;dates&gt;&lt;year&gt;2016&lt;/year&gt;&lt;/dates&gt;&lt;isbn&gt;2044-6055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[5]</w:t>
            </w:r>
            <w:r w:rsidR="00233063">
              <w:rPr>
                <w:rFonts w:ascii="Arial" w:hAnsi="Arial" w:cs="Arial"/>
                <w:sz w:val="18"/>
                <w:szCs w:val="18"/>
              </w:rPr>
              <w:fldChar w:fldCharType="end"/>
            </w:r>
          </w:p>
        </w:tc>
        <w:tc>
          <w:tcPr>
            <w:tcW w:w="1803" w:type="dxa"/>
          </w:tcPr>
          <w:p w14:paraId="25F2B856"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Published protocol</w:t>
            </w:r>
          </w:p>
        </w:tc>
        <w:tc>
          <w:tcPr>
            <w:tcW w:w="1803" w:type="dxa"/>
          </w:tcPr>
          <w:p w14:paraId="6B967CCD"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IPD-NMA</w:t>
            </w:r>
          </w:p>
        </w:tc>
        <w:tc>
          <w:tcPr>
            <w:tcW w:w="1803" w:type="dxa"/>
          </w:tcPr>
          <w:p w14:paraId="073EC235"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Depressive disorder</w:t>
            </w:r>
          </w:p>
        </w:tc>
        <w:tc>
          <w:tcPr>
            <w:tcW w:w="1804" w:type="dxa"/>
          </w:tcPr>
          <w:p w14:paraId="0DAD16F1"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Literature review</w:t>
            </w:r>
          </w:p>
        </w:tc>
      </w:tr>
      <w:tr w:rsidR="00423007" w:rsidRPr="004D6750" w14:paraId="37C6E77C" w14:textId="77777777" w:rsidTr="000F6424">
        <w:tc>
          <w:tcPr>
            <w:tcW w:w="1803" w:type="dxa"/>
          </w:tcPr>
          <w:p w14:paraId="2A5BB812" w14:textId="003C1698"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Furukawa (2018)</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&lt;EndNote&gt;&lt;Cite&gt;&lt;Author&gt;Furukawa&lt;/Author&gt;&lt;Year&gt;2018&lt;/Year&gt;&lt;RecNum&gt;25&lt;/RecNum&gt;&lt;DisplayText&gt;[6]&lt;/DisplayText&gt;&lt;record&gt;&lt;rec-number&gt;25&lt;/rec-number&gt;&lt;foreign-keys&gt;&lt;key app="EN" db-id="rrst9wtabrazd7ezevkxtxzvtv59x9xwzdxs" timestamp="1659977850"&gt;25&lt;/key&gt;&lt;/foreign-keys&gt;&lt;ref-type name="Journal Article"&gt;17&lt;/ref-type&gt;&lt;contributors&gt;&lt;authors&gt;&lt;author&gt;Furukawa, Toshi A&lt;/author&gt;&lt;author&gt;Karyotaki, Eirini&lt;/author&gt;&lt;author&gt;Suganuma, Aya&lt;/author&gt;&lt;author&gt;Pompoli, Alessandro&lt;/author&gt;&lt;author&gt;Ostinelli, Edoardo G&lt;/author&gt;&lt;author&gt;Cipriani, Andrea&lt;/author&gt;&lt;author&gt;Cuijpers, Pim&lt;/author&gt;&lt;author&gt;Efthimiou, Orestis&lt;/author&gt;&lt;/authors&gt;&lt;/contributors&gt;&lt;titles&gt;&lt;title&gt;Dismantling, personalising and optimising internet cognitive–behavioural therapy for depression: a study protocol for individual participant data component network meta-analysis&lt;/title&gt;&lt;secondary-title&gt;BMJ open&lt;/secondary-title&gt;&lt;/titles&gt;&lt;periodical&gt;&lt;full-title&gt;BMJ open&lt;/full-title&gt;&lt;/periodical&gt;&lt;pages&gt;e026137&lt;/pages&gt;&lt;volume&gt;8&lt;/volume&gt;&lt;number&gt;11&lt;/number&gt;&lt;dates&gt;&lt;year&gt;2018&lt;/year&gt;&lt;/dates&gt;&lt;isbn&gt;2044-6055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[6]</w:t>
            </w:r>
            <w:r w:rsidR="00233063">
              <w:rPr>
                <w:rFonts w:ascii="Arial" w:hAnsi="Arial" w:cs="Arial"/>
                <w:sz w:val="18"/>
                <w:szCs w:val="18"/>
              </w:rPr>
              <w:fldChar w:fldCharType="end"/>
            </w:r>
          </w:p>
        </w:tc>
        <w:tc>
          <w:tcPr>
            <w:tcW w:w="1803" w:type="dxa"/>
          </w:tcPr>
          <w:p w14:paraId="1BB1582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Published protocol</w:t>
            </w:r>
          </w:p>
        </w:tc>
        <w:tc>
          <w:tcPr>
            <w:tcW w:w="1803" w:type="dxa"/>
          </w:tcPr>
          <w:p w14:paraId="7D9023FD"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IPD-NMA</w:t>
            </w:r>
          </w:p>
        </w:tc>
        <w:tc>
          <w:tcPr>
            <w:tcW w:w="1803" w:type="dxa"/>
          </w:tcPr>
          <w:p w14:paraId="1DC18DDC"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Depressive disorder</w:t>
            </w:r>
          </w:p>
        </w:tc>
        <w:tc>
          <w:tcPr>
            <w:tcW w:w="1804" w:type="dxa"/>
          </w:tcPr>
          <w:p w14:paraId="256BE898"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Literature review</w:t>
            </w:r>
          </w:p>
        </w:tc>
      </w:tr>
      <w:tr w:rsidR="00423007" w:rsidRPr="004D6750" w14:paraId="2BB33778" w14:textId="77777777" w:rsidTr="000F6424">
        <w:tc>
          <w:tcPr>
            <w:tcW w:w="1803" w:type="dxa"/>
          </w:tcPr>
          <w:p w14:paraId="64AB58D6" w14:textId="7E571CAA" w:rsidR="00423007" w:rsidRPr="004D6750" w:rsidRDefault="00423007" w:rsidP="0073032D">
            <w:pPr>
              <w:spacing w:before="40" w:after="40"/>
              <w:rPr>
                <w:rFonts w:ascii="Arial" w:hAnsi="Arial" w:cs="Arial"/>
                <w:sz w:val="18"/>
                <w:szCs w:val="18"/>
              </w:rPr>
            </w:pPr>
            <w:r>
              <w:rPr>
                <w:rFonts w:ascii="Arial" w:hAnsi="Arial" w:cs="Arial"/>
                <w:sz w:val="18"/>
                <w:szCs w:val="18"/>
              </w:rPr>
              <w:t>Kanters (2022)</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&lt;EndNote&gt;&lt;Cite&gt;&lt;Author&gt;Kanters&lt;/Author&gt;&lt;Year&gt;2022&lt;/Year&gt;&lt;RecNum&gt;81&lt;/RecNum&gt;&lt;DisplayText&gt;[7]&lt;/DisplayText&gt;&lt;record&gt;&lt;rec-number&gt;81&lt;/rec-number&gt;&lt;foreign-keys&gt;&lt;key app="EN" db-id="rrst9wtabrazd7ezevkxtxzvtv59x9xwzdxs" timestamp="1678615327"&gt;81&lt;/key&gt;&lt;/foreign-keys&gt;&lt;ref-type name="Journal Article"&gt;17&lt;/ref-type&gt;&lt;contributors&gt;&lt;authors&gt;&lt;author&gt;Kanters, Steve&lt;/author&gt;&lt;author&gt;Renaud, Francoise&lt;/author&gt;&lt;author&gt;Rangaraj, Ajay&lt;/author&gt;&lt;author&gt;Zhang, Kenneth&lt;/author&gt;&lt;author&gt;Limbrick-Oldfield, Eve&lt;/author&gt;&lt;author&gt;Hughes, Monica&lt;/author&gt;&lt;author&gt;Ford, Nathan&lt;/author&gt;&lt;author&gt;Vitoria, Marco&lt;/author&gt;&lt;/authors&gt;&lt;/contributors&gt;&lt;titles&gt;&lt;title&gt;Evidence synthesis evaluating body weight gain among people treating HIV with antiretroviral therapy-a systematic literature review and network meta-analysis&lt;/title&gt;&lt;secondary-title&gt;Eclinicalmedicine&lt;/secondary-title&gt;&lt;/titles&gt;&lt;periodical&gt;&lt;full-title&gt;Eclinicalmedicine&lt;/full-title&gt;&lt;/periodical&gt;&lt;pages&gt;101412&lt;/pages&gt;&lt;volume&gt;48&lt;/volume&gt;&lt;dates&gt;&lt;year&gt;2022&lt;/year&gt;&lt;/dates&gt;&lt;isbn&gt;2589-5370&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[7]</w:t>
            </w:r>
            <w:r w:rsidR="00233063">
              <w:rPr>
                <w:rFonts w:ascii="Arial" w:hAnsi="Arial" w:cs="Arial"/>
                <w:sz w:val="18"/>
                <w:szCs w:val="18"/>
              </w:rPr>
              <w:fldChar w:fldCharType="end"/>
            </w:r>
          </w:p>
        </w:tc>
        <w:tc>
          <w:tcPr>
            <w:tcW w:w="1803" w:type="dxa"/>
          </w:tcPr>
          <w:p w14:paraId="1C7BECF3" w14:textId="63EFEF90" w:rsidR="00423007" w:rsidRPr="004D6750" w:rsidRDefault="00AF3B0E" w:rsidP="0073032D">
            <w:pPr>
              <w:spacing w:before="40" w:after="40"/>
              <w:rPr>
                <w:rFonts w:ascii="Arial" w:hAnsi="Arial" w:cs="Arial"/>
                <w:sz w:val="18"/>
                <w:szCs w:val="18"/>
              </w:rPr>
            </w:pPr>
            <w:r>
              <w:rPr>
                <w:rFonts w:ascii="Arial" w:hAnsi="Arial" w:cs="Arial"/>
                <w:sz w:val="18"/>
                <w:szCs w:val="18"/>
              </w:rPr>
              <w:t>Article</w:t>
            </w:r>
          </w:p>
        </w:tc>
        <w:tc>
          <w:tcPr>
            <w:tcW w:w="1803" w:type="dxa"/>
          </w:tcPr>
          <w:p w14:paraId="593DECA2"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NMA</w:t>
            </w:r>
          </w:p>
        </w:tc>
        <w:tc>
          <w:tcPr>
            <w:tcW w:w="1803" w:type="dxa"/>
          </w:tcPr>
          <w:p w14:paraId="37ABF232"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HIV</w:t>
            </w:r>
          </w:p>
        </w:tc>
        <w:tc>
          <w:tcPr>
            <w:tcW w:w="1804" w:type="dxa"/>
          </w:tcPr>
          <w:p w14:paraId="5A773EDB" w14:textId="13990AC2" w:rsidR="00423007" w:rsidRPr="004D6750" w:rsidRDefault="00176833" w:rsidP="0073032D">
            <w:pPr>
              <w:spacing w:before="40" w:after="40"/>
              <w:rPr>
                <w:rFonts w:ascii="Arial" w:hAnsi="Arial" w:cs="Arial"/>
                <w:sz w:val="18"/>
                <w:szCs w:val="18"/>
              </w:rPr>
            </w:pPr>
            <w:r>
              <w:rPr>
                <w:rFonts w:ascii="Arial" w:hAnsi="Arial" w:cs="Arial"/>
                <w:sz w:val="18"/>
                <w:szCs w:val="18"/>
              </w:rPr>
              <w:t>Literature review</w:t>
            </w:r>
          </w:p>
        </w:tc>
      </w:tr>
      <w:tr w:rsidR="00423007" w:rsidRPr="004D6750" w14:paraId="6C0487CA" w14:textId="77777777" w:rsidTr="000F6424">
        <w:tc>
          <w:tcPr>
            <w:tcW w:w="1803" w:type="dxa"/>
          </w:tcPr>
          <w:p w14:paraId="1563BD41" w14:textId="3052E6CA" w:rsidR="00423007" w:rsidRPr="004D6750" w:rsidRDefault="00423007" w:rsidP="0073032D">
            <w:pPr>
              <w:spacing w:before="40" w:after="40"/>
              <w:rPr>
                <w:rFonts w:ascii="Arial" w:hAnsi="Arial" w:cs="Arial"/>
                <w:sz w:val="18"/>
                <w:szCs w:val="18"/>
              </w:rPr>
            </w:pPr>
            <w:r w:rsidRPr="004D6750">
              <w:rPr>
                <w:rFonts w:ascii="Arial" w:hAnsi="Arial" w:cs="Arial"/>
                <w:sz w:val="18"/>
                <w:szCs w:val="18"/>
              </w:rPr>
              <w:lastRenderedPageBreak/>
              <w:t>Kovic (2017)</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&lt;EndNote&gt;&lt;Cite&gt;&lt;Author&gt;Kovic&lt;/Author&gt;&lt;Year&gt;2017&lt;/Year&gt;&lt;RecNum&gt;24&lt;/RecNum&gt;&lt;DisplayText&gt;[8]&lt;/DisplayText&gt;&lt;record&gt;&lt;rec-number&gt;24&lt;/rec-number&gt;&lt;foreign-keys&gt;&lt;key app="EN" db-id="rrst9wtabrazd7ezevkxtxzvtv59x9xwzdxs" timestamp="1659977833"&gt;24&lt;/key&gt;&lt;/foreign-keys&gt;&lt;ref-type name="Journal Article"&gt;17&lt;/ref-type&gt;&lt;contributors&gt;&lt;authors&gt;&lt;author&gt;Kovic, Bruno&lt;/author&gt;&lt;author&gt;Zoratti, Michael J&lt;/author&gt;&lt;author&gt;Michalopoulos, Steven&lt;/author&gt;&lt;author&gt;Silvestre, Camila&lt;/author&gt;&lt;author&gt;Thorlund, Kristian&lt;/author&gt;&lt;author&gt;Thabane, Lehana&lt;/author&gt;&lt;/authors&gt;&lt;/contributors&gt;&lt;titles&gt;&lt;title&gt;Deficiencies in addressing effect modification in network meta-analyses: a meta-epidemiological survey&lt;/title&gt;&lt;secondary-title&gt;Journal of Clinical Epidemiology&lt;/secondary-title&gt;&lt;/titles&gt;&lt;periodical&gt;&lt;full-title&gt;Journal of Clinical Epidemiology&lt;/full-title&gt;&lt;/periodical&gt;&lt;pages&gt;47-56&lt;/pages&gt;&lt;volume&gt;88&lt;/volume&gt;&lt;dates&gt;&lt;year&gt;2017&lt;/year&gt;&lt;/dates&gt;&lt;isbn&gt;0895-4356&lt;/isbn&gt;&lt;urls&gt;&lt;/urls&gt;&lt;/record&gt;&lt;/Cite&gt;&lt;/EndNote&gt;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[8]</w:t>
            </w:r>
            <w:r w:rsidR="00233063">
              <w:rPr>
                <w:rFonts w:ascii="Arial" w:hAnsi="Arial" w:cs="Arial"/>
                <w:sz w:val="18"/>
                <w:szCs w:val="18"/>
              </w:rPr>
              <w:fldChar w:fldCharType="end"/>
            </w:r>
          </w:p>
        </w:tc>
        <w:tc>
          <w:tcPr>
            <w:tcW w:w="1803" w:type="dxa"/>
          </w:tcPr>
          <w:p w14:paraId="2E60251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397C4304"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w:t>
            </w:r>
          </w:p>
        </w:tc>
        <w:tc>
          <w:tcPr>
            <w:tcW w:w="1803" w:type="dxa"/>
          </w:tcPr>
          <w:p w14:paraId="6F23D1D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N/A (EM reporting in NMAs)</w:t>
            </w:r>
          </w:p>
        </w:tc>
        <w:tc>
          <w:tcPr>
            <w:tcW w:w="1804" w:type="dxa"/>
          </w:tcPr>
          <w:p w14:paraId="4C36C3D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Challenges highlighted in SLRs</w:t>
            </w:r>
          </w:p>
        </w:tc>
      </w:tr>
      <w:tr w:rsidR="00423007" w:rsidRPr="004D6750" w14:paraId="144C5E12" w14:textId="77777777" w:rsidTr="000F6424">
        <w:tc>
          <w:tcPr>
            <w:tcW w:w="1803" w:type="dxa"/>
          </w:tcPr>
          <w:p w14:paraId="04DA4B6B" w14:textId="741A5EB2"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McGirr (2019)</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&lt;EndNote&gt;&lt;Cite&gt;&lt;Author&gt;McGirr&lt;/Author&gt;&lt;Year&gt;2019&lt;/Year&gt;&lt;RecNum&gt;27&lt;/RecNum&gt;&lt;DisplayText&gt;[9]&lt;/DisplayText&gt;&lt;record&gt;&lt;rec-number&gt;27&lt;/rec-number&gt;&lt;foreign-keys&gt;&lt;key app="EN" db-id="rrst9wtabrazd7ezevkxtxzvtv59x9xwzdxs" timestamp="1659977878"&gt;27&lt;/key&gt;&lt;/foreign-keys&gt;&lt;ref-type name="Journal Article"&gt;17&lt;/ref-type&gt;&lt;contributors&gt;&lt;authors&gt;&lt;author&gt;McGirr, Ashleigh&lt;/author&gt;&lt;author&gt;Iqbal, Shehzad M&lt;/author&gt;&lt;author&gt;Izurieta, Patricia&lt;/author&gt;&lt;author&gt;Talarico, Carla&lt;/author&gt;&lt;author&gt;Luijken, Janneke&lt;/author&gt;&lt;author&gt;Redig, Josefine&lt;/author&gt;&lt;author&gt;Newson, Rachel S&lt;/author&gt;&lt;/authors&gt;&lt;/contributors&gt;&lt;titles&gt;&lt;title&gt;A systematic literature review and network meta-analysis feasibility study to assess the comparative efficacy and comparative effectiveness of pneumococcal conjugate vaccines&lt;/title&gt;&lt;secondary-title&gt;Human vaccines &amp;amp; immunotherapeutics&lt;/secondary-title&gt;&lt;/titles&gt;&lt;periodical&gt;&lt;full-title&gt;Human vaccines &amp;amp; immunotherapeutics&lt;/full-title&gt;&lt;/periodical&gt;&lt;pages&gt;2713-2724&lt;/pages&gt;&lt;volume&gt;15&lt;/volume&gt;&lt;number&gt;11&lt;/number&gt;&lt;dates&gt;&lt;year&gt;2019&lt;/year&gt;&lt;/dates&gt;&lt;isbn&gt;2164-5515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[9]</w:t>
            </w:r>
            <w:r w:rsidR="00233063">
              <w:rPr>
                <w:rFonts w:ascii="Arial" w:hAnsi="Arial" w:cs="Arial"/>
                <w:sz w:val="18"/>
                <w:szCs w:val="18"/>
              </w:rPr>
              <w:fldChar w:fldCharType="end"/>
            </w:r>
          </w:p>
        </w:tc>
        <w:tc>
          <w:tcPr>
            <w:tcW w:w="1803" w:type="dxa"/>
          </w:tcPr>
          <w:p w14:paraId="458C053D"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Article</w:t>
            </w:r>
          </w:p>
        </w:tc>
        <w:tc>
          <w:tcPr>
            <w:tcW w:w="1803" w:type="dxa"/>
          </w:tcPr>
          <w:p w14:paraId="27B1C5EF"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w:t>
            </w:r>
          </w:p>
        </w:tc>
        <w:tc>
          <w:tcPr>
            <w:tcW w:w="1803" w:type="dxa"/>
          </w:tcPr>
          <w:p w14:paraId="6A033451"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Pneumococcal disease in children</w:t>
            </w:r>
          </w:p>
        </w:tc>
        <w:tc>
          <w:tcPr>
            <w:tcW w:w="1804" w:type="dxa"/>
          </w:tcPr>
          <w:p w14:paraId="17FB071B"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Unclear</w:t>
            </w:r>
          </w:p>
        </w:tc>
      </w:tr>
      <w:tr w:rsidR="00423007" w:rsidRPr="004D6750" w14:paraId="54F4C24D" w14:textId="77777777" w:rsidTr="000F6424">
        <w:tc>
          <w:tcPr>
            <w:tcW w:w="1803" w:type="dxa"/>
          </w:tcPr>
          <w:p w14:paraId="50C1820C" w14:textId="4FFD3998" w:rsidR="00423007" w:rsidRPr="004D6750" w:rsidRDefault="00423007" w:rsidP="0073032D">
            <w:pPr>
              <w:spacing w:before="40" w:after="40"/>
              <w:rPr>
                <w:rFonts w:ascii="Arial" w:hAnsi="Arial" w:cs="Arial"/>
                <w:sz w:val="18"/>
                <w:szCs w:val="18"/>
              </w:rPr>
            </w:pPr>
            <w:r>
              <w:rPr>
                <w:rFonts w:ascii="Arial" w:hAnsi="Arial" w:cs="Arial"/>
                <w:sz w:val="18"/>
                <w:szCs w:val="18"/>
              </w:rPr>
              <w:t>Menzies-Gow (2022)</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&lt;EndNote&gt;&lt;Cite&gt;&lt;Author&gt;Menzies-Gow&lt;/Author&gt;&lt;Year&gt;2022&lt;/Year&gt;&lt;RecNum&gt;82&lt;/RecNum&gt;&lt;DisplayText&gt;[10]&lt;/DisplayText&gt;&lt;record&gt;&lt;rec-number&gt;82&lt;/rec-number&gt;&lt;foreign-keys&gt;&lt;key app="EN" db-id="rrst9wtabrazd7ezevkxtxzvtv59x9xwzdxs" timestamp="1678615341"&gt;82&lt;/key&gt;&lt;/foreign-keys&gt;&lt;ref-type name="Journal Article"&gt;17&lt;/ref-type&gt;&lt;contributors&gt;&lt;authors&gt;&lt;author&gt;Menzies-Gow, Andrew&lt;/author&gt;&lt;author&gt;Steenkamp, Jason&lt;/author&gt;&lt;author&gt;Singh, Sumeet&lt;/author&gt;&lt;author&gt;Erhardt, Wilma&lt;/author&gt;&lt;author&gt;Rowell, Jennifer&lt;/author&gt;&lt;author&gt;Rane, Pallavi&lt;/author&gt;&lt;author&gt;Martin, Neil&lt;/author&gt;&lt;author&gt;Llanos, Jean Pierre&lt;/author&gt;&lt;author&gt;Quinton, Anna&lt;/author&gt;&lt;/authors&gt;&lt;/contributors&gt;&lt;titles&gt;&lt;title&gt;Tezepelumab compared with other biologics for the treatment of severe asthma: a systematic review and indirect treatment comparison&lt;/title&gt;&lt;secondary-title&gt;Journal of Medical Economics&lt;/secondary-title&gt;&lt;/titles&gt;&lt;periodical&gt;&lt;full-title&gt;Journal of Medical Economics&lt;/full-title&gt;&lt;/periodical&gt;&lt;pages&gt;679-690&lt;/pages&gt;&lt;volume&gt;25&lt;/volume&gt;&lt;number&gt;1&lt;/number&gt;&lt;dates&gt;&lt;year&gt;2022&lt;/year&gt;&lt;/dates&gt;&lt;isbn&gt;1369-6998&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[10]</w:t>
            </w:r>
            <w:r w:rsidR="00233063">
              <w:rPr>
                <w:rFonts w:ascii="Arial" w:hAnsi="Arial" w:cs="Arial"/>
                <w:sz w:val="18"/>
                <w:szCs w:val="18"/>
              </w:rPr>
              <w:fldChar w:fldCharType="end"/>
            </w:r>
          </w:p>
        </w:tc>
        <w:tc>
          <w:tcPr>
            <w:tcW w:w="1803" w:type="dxa"/>
          </w:tcPr>
          <w:p w14:paraId="2AA6F854" w14:textId="2609A267" w:rsidR="00423007" w:rsidRPr="004D6750" w:rsidRDefault="004A3B64" w:rsidP="0073032D">
            <w:pPr>
              <w:spacing w:before="40" w:after="40"/>
              <w:rPr>
                <w:rFonts w:ascii="Arial" w:hAnsi="Arial" w:cs="Arial"/>
                <w:sz w:val="18"/>
                <w:szCs w:val="18"/>
              </w:rPr>
            </w:pPr>
            <w:r>
              <w:rPr>
                <w:rFonts w:ascii="Arial" w:hAnsi="Arial" w:cs="Arial"/>
                <w:sz w:val="18"/>
                <w:szCs w:val="18"/>
              </w:rPr>
              <w:t>Article</w:t>
            </w:r>
          </w:p>
        </w:tc>
        <w:tc>
          <w:tcPr>
            <w:tcW w:w="1803" w:type="dxa"/>
          </w:tcPr>
          <w:p w14:paraId="62916C8E"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NMA and STC</w:t>
            </w:r>
          </w:p>
        </w:tc>
        <w:tc>
          <w:tcPr>
            <w:tcW w:w="1803" w:type="dxa"/>
          </w:tcPr>
          <w:p w14:paraId="7FFE6CB5"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Asthma</w:t>
            </w:r>
          </w:p>
        </w:tc>
        <w:tc>
          <w:tcPr>
            <w:tcW w:w="1804" w:type="dxa"/>
          </w:tcPr>
          <w:p w14:paraId="5E9D55E3" w14:textId="72719457" w:rsidR="00423007" w:rsidRPr="004D6750" w:rsidRDefault="00AA070D" w:rsidP="0073032D">
            <w:pPr>
              <w:spacing w:before="40" w:after="40"/>
              <w:rPr>
                <w:rFonts w:ascii="Arial" w:hAnsi="Arial" w:cs="Arial"/>
                <w:sz w:val="18"/>
                <w:szCs w:val="18"/>
              </w:rPr>
            </w:pPr>
            <w:r>
              <w:rPr>
                <w:rFonts w:ascii="Arial" w:hAnsi="Arial" w:cs="Arial"/>
                <w:sz w:val="18"/>
                <w:szCs w:val="18"/>
              </w:rPr>
              <w:t>Expert opinion and literature review</w:t>
            </w:r>
          </w:p>
        </w:tc>
      </w:tr>
      <w:tr w:rsidR="00423007" w:rsidRPr="004D6750" w14:paraId="19ED1D0B" w14:textId="77777777" w:rsidTr="000F6424">
        <w:tc>
          <w:tcPr>
            <w:tcW w:w="1803" w:type="dxa"/>
          </w:tcPr>
          <w:p w14:paraId="4CCEDFD6" w14:textId="61FF7FDE" w:rsidR="00423007" w:rsidRPr="004D6750" w:rsidRDefault="00423007" w:rsidP="0073032D">
            <w:pPr>
              <w:spacing w:before="40" w:after="40"/>
              <w:rPr>
                <w:rFonts w:ascii="Arial" w:hAnsi="Arial" w:cs="Arial"/>
                <w:sz w:val="18"/>
                <w:szCs w:val="18"/>
              </w:rPr>
            </w:pPr>
            <w:r>
              <w:rPr>
                <w:rFonts w:ascii="Arial" w:hAnsi="Arial" w:cs="Arial"/>
                <w:sz w:val="18"/>
                <w:szCs w:val="18"/>
              </w:rPr>
              <w:t>Nikolin (2022)</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&lt;EndNote&gt;&lt;Cite&gt;&lt;Author&gt;Nikolin&lt;/Author&gt;&lt;Year&gt;2022&lt;/Year&gt;&lt;RecNum&gt;80&lt;/RecNum&gt;&lt;DisplayText&gt;[11]&lt;/DisplayText&gt;&lt;record&gt;&lt;rec-number&gt;80&lt;/rec-number&gt;&lt;foreign-keys&gt;&lt;key app="EN" db-id="rrst9wtabrazd7ezevkxtxzvtv59x9xwzdxs" timestamp="1678615314"&gt;80&lt;/key&gt;&lt;/foreign-keys&gt;&lt;ref-type name="Journal Article"&gt;17&lt;/ref-type&gt;&lt;contributors&gt;&lt;authors&gt;&lt;author&gt;Nikolin, Stevan&lt;/author&gt;&lt;author&gt;Owens, Kieran&lt;/author&gt;&lt;author&gt;Francis-Taylor, Rohan&lt;/author&gt;&lt;author&gt;Chaimani, Anna&lt;/author&gt;&lt;author&gt;Martin, Donel M&lt;/author&gt;&lt;author&gt;Bull, Michael&lt;/author&gt;&lt;author&gt;Sackeim, Harold A&lt;/author&gt;&lt;author&gt;McLoughlin, Declan M&lt;/author&gt;&lt;author&gt;Sienaert, Pascal&lt;/author&gt;&lt;author&gt;Kellner, Charles H&lt;/author&gt;&lt;/authors&gt;&lt;/contributors&gt;&lt;titles&gt;&lt;title&gt;Comparative efficacy, cognitive effects and acceptability of electroconvulsive therapies for the treatment of depression: protocol for a systematic review and network meta-analysis&lt;/title&gt;&lt;secondary-title&gt;BMJ open&lt;/secondary-title&gt;&lt;/titles&gt;&lt;periodical&gt;&lt;full-title&gt;BMJ open&lt;/full-title&gt;&lt;/periodical&gt;&lt;pages&gt;e068313&lt;/pages&gt;&lt;volume&gt;12&lt;/volume&gt;&lt;number&gt;12&lt;/number&gt;&lt;dates&gt;&lt;year&gt;2022&lt;/year&gt;&lt;/dates&gt;&lt;isbn&gt;2044-6055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[11]</w:t>
            </w:r>
            <w:r w:rsidR="00233063">
              <w:rPr>
                <w:rFonts w:ascii="Arial" w:hAnsi="Arial" w:cs="Arial"/>
                <w:sz w:val="18"/>
                <w:szCs w:val="18"/>
              </w:rPr>
              <w:fldChar w:fldCharType="end"/>
            </w:r>
          </w:p>
        </w:tc>
        <w:tc>
          <w:tcPr>
            <w:tcW w:w="1803" w:type="dxa"/>
          </w:tcPr>
          <w:p w14:paraId="376DE2BE" w14:textId="1589FFFE" w:rsidR="00423007" w:rsidRPr="004D6750" w:rsidRDefault="00D92144" w:rsidP="0073032D">
            <w:pPr>
              <w:spacing w:before="40" w:after="40"/>
              <w:rPr>
                <w:rFonts w:ascii="Arial" w:hAnsi="Arial" w:cs="Arial"/>
                <w:sz w:val="18"/>
                <w:szCs w:val="18"/>
              </w:rPr>
            </w:pPr>
            <w:r w:rsidRPr="004D6750">
              <w:rPr>
                <w:rFonts w:ascii="Arial" w:hAnsi="Arial" w:cs="Arial"/>
                <w:sz w:val="18"/>
                <w:szCs w:val="18"/>
              </w:rPr>
              <w:t>Published protocol</w:t>
            </w:r>
          </w:p>
        </w:tc>
        <w:tc>
          <w:tcPr>
            <w:tcW w:w="1803" w:type="dxa"/>
          </w:tcPr>
          <w:p w14:paraId="0DA0703D"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NMA</w:t>
            </w:r>
          </w:p>
        </w:tc>
        <w:tc>
          <w:tcPr>
            <w:tcW w:w="1803" w:type="dxa"/>
          </w:tcPr>
          <w:p w14:paraId="5EFE8623"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Depression</w:t>
            </w:r>
          </w:p>
        </w:tc>
        <w:tc>
          <w:tcPr>
            <w:tcW w:w="1804" w:type="dxa"/>
          </w:tcPr>
          <w:p w14:paraId="656CCC79" w14:textId="629ED54D" w:rsidR="00423007" w:rsidRPr="004D6750" w:rsidRDefault="004D0200" w:rsidP="0073032D">
            <w:pPr>
              <w:spacing w:before="40" w:after="40"/>
              <w:rPr>
                <w:rFonts w:ascii="Arial" w:hAnsi="Arial" w:cs="Arial"/>
                <w:sz w:val="18"/>
                <w:szCs w:val="18"/>
              </w:rPr>
            </w:pPr>
            <w:r>
              <w:rPr>
                <w:rFonts w:ascii="Arial" w:hAnsi="Arial" w:cs="Arial"/>
                <w:sz w:val="18"/>
                <w:szCs w:val="18"/>
              </w:rPr>
              <w:t>Unclear</w:t>
            </w:r>
          </w:p>
        </w:tc>
      </w:tr>
      <w:tr w:rsidR="00423007" w:rsidRPr="004D6750" w14:paraId="6BF8A5FA" w14:textId="77777777" w:rsidTr="000F6424">
        <w:tc>
          <w:tcPr>
            <w:tcW w:w="1803" w:type="dxa"/>
          </w:tcPr>
          <w:p w14:paraId="387FF5BB" w14:textId="572FB762"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Phillippo (2019)</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&lt;EndNote&gt;&lt;Cite&gt;&lt;Author&gt;Phillippo&lt;/Author&gt;&lt;Year&gt;2019&lt;/Year&gt;&lt;RecNum&gt;6&lt;/RecNum&gt;&lt;DisplayText&gt;[12]&lt;/DisplayText&gt;&lt;record&gt;&lt;rec-number&gt;6&lt;/rec-number&gt;&lt;foreign-keys&gt;&lt;key app="EN" db-id="rrst9wtabrazd7ezevkxtxzvtv59x9xwzdxs" timestamp="1648460760"&gt;6&lt;/key&gt;&lt;/foreign-keys&gt;&lt;ref-type name="Journal Article"&gt;17&lt;/ref-type&gt;&lt;contributors&gt;&lt;authors&gt;&lt;author&gt;Phillippo, David M&lt;/author&gt;&lt;author&gt;Dias, Sofia&lt;/author&gt;&lt;author&gt;Elsada, Ahmed&lt;/author&gt;&lt;author&gt;Ades, AE&lt;/author&gt;&lt;author&gt;Welton, Nicky J&lt;/author&gt;&lt;/authors&gt;&lt;/contributors&gt;&lt;titles&gt;&lt;title&gt;Population adjustment methods for indirect comparisons: a review of national institute for health and care excellence technology appraisals&lt;/title&gt;&lt;secondary-title&gt;International journal of technology assessment in health care&lt;/secondary-title&gt;&lt;/titles&gt;&lt;periodical&gt;&lt;full-title&gt;International journal of technology assessment in health care&lt;/full-title&gt;&lt;/periodical&gt;&lt;pages&gt;221-228&lt;/pages&gt;&lt;volume&gt;35&lt;/volume&gt;&lt;number&gt;3&lt;/number&gt;&lt;dates&gt;&lt;year&gt;2019&lt;/year&gt;&lt;/dates&gt;&lt;isbn&gt;0266-4623&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[12]</w:t>
            </w:r>
            <w:r w:rsidR="00233063">
              <w:rPr>
                <w:rFonts w:ascii="Arial" w:hAnsi="Arial" w:cs="Arial"/>
                <w:sz w:val="18"/>
                <w:szCs w:val="18"/>
              </w:rPr>
              <w:fldChar w:fldCharType="end"/>
            </w:r>
          </w:p>
        </w:tc>
        <w:tc>
          <w:tcPr>
            <w:tcW w:w="1803" w:type="dxa"/>
          </w:tcPr>
          <w:p w14:paraId="2002CC65"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266800C8"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 (in NICE TAs)</w:t>
            </w:r>
          </w:p>
        </w:tc>
        <w:tc>
          <w:tcPr>
            <w:tcW w:w="1803" w:type="dxa"/>
          </w:tcPr>
          <w:p w14:paraId="7EF2B412"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Multiple indications</w:t>
            </w:r>
          </w:p>
        </w:tc>
        <w:tc>
          <w:tcPr>
            <w:tcW w:w="1804" w:type="dxa"/>
          </w:tcPr>
          <w:p w14:paraId="3FF31851"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Expert opinion</w:t>
            </w:r>
          </w:p>
        </w:tc>
      </w:tr>
      <w:tr w:rsidR="00423007" w:rsidRPr="004D6750" w14:paraId="7BFD5EE5" w14:textId="77777777" w:rsidTr="000F6424">
        <w:tc>
          <w:tcPr>
            <w:tcW w:w="1803" w:type="dxa"/>
          </w:tcPr>
          <w:p w14:paraId="3D045DC2" w14:textId="54C83A54" w:rsidR="00423007" w:rsidRPr="004D6750" w:rsidRDefault="00423007" w:rsidP="0073032D">
            <w:pPr>
              <w:spacing w:before="40" w:after="40"/>
              <w:rPr>
                <w:rFonts w:ascii="Arial" w:hAnsi="Arial" w:cs="Arial"/>
                <w:sz w:val="18"/>
                <w:szCs w:val="18"/>
              </w:rPr>
            </w:pPr>
            <w:r>
              <w:rPr>
                <w:rFonts w:ascii="Arial" w:hAnsi="Arial" w:cs="Arial"/>
                <w:sz w:val="18"/>
                <w:szCs w:val="18"/>
              </w:rPr>
              <w:t>Rose (2022)</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&lt;EndNote&gt;&lt;Cite&gt;&lt;Author&gt;Rose&lt;/Author&gt;&lt;Year&gt;2022&lt;/Year&gt;&lt;RecNum&gt;79&lt;/RecNum&gt;&lt;DisplayText&gt;[13]&lt;/DisplayText&gt;&lt;record&gt;&lt;rec-number&gt;79&lt;/rec-number&gt;&lt;foreign-keys&gt;&lt;key app="EN" db-id="rrst9wtabrazd7ezevkxtxzvtv59x9xwzdxs" timestamp="1678615297"&gt;79&lt;/key&gt;&lt;/foreign-keys&gt;&lt;ref-type name="Journal Article"&gt;17&lt;/ref-type&gt;&lt;contributors&gt;&lt;authors&gt;&lt;author&gt;Rose, Christopher James&lt;/author&gt;&lt;author&gt;Ohm, Ingrid Kristine&lt;/author&gt;&lt;author&gt;Giske, Liv&lt;/author&gt;&lt;author&gt;Næss, Gunn Eva&lt;/author&gt;&lt;author&gt;Fretheim, Atle&lt;/author&gt;&lt;/authors&gt;&lt;/contributors&gt;&lt;titles&gt;&lt;title&gt;Effect modification in network meta-analyses of treatments for relapsing refractory multiple myeloma (RRMM): systematic review, meta-analysis, and simulation&lt;/title&gt;&lt;secondary-title&gt;medRxiv&lt;/secondary-title&gt;&lt;/titles&gt;&lt;periodical&gt;&lt;full-title&gt;medRxiv&lt;/full-title&gt;&lt;/periodical&gt;&lt;pages&gt;2022.05. 13.22275047&lt;/pages&gt;&lt;dates&gt;&lt;year&gt;2022&lt;/year&gt;&lt;/dates&gt;&lt;urls&gt;&lt;/urls&gt;&lt;/record&gt;&lt;/Cite&gt;&lt;/EndNote&gt;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[13]</w:t>
            </w:r>
            <w:r w:rsidR="00233063">
              <w:rPr>
                <w:rFonts w:ascii="Arial" w:hAnsi="Arial" w:cs="Arial"/>
                <w:sz w:val="18"/>
                <w:szCs w:val="18"/>
              </w:rPr>
              <w:fldChar w:fldCharType="end"/>
            </w:r>
          </w:p>
        </w:tc>
        <w:tc>
          <w:tcPr>
            <w:tcW w:w="1803" w:type="dxa"/>
          </w:tcPr>
          <w:p w14:paraId="6B8DB1B7" w14:textId="3284B4C4" w:rsidR="00423007" w:rsidRPr="004D6750" w:rsidRDefault="008548EE" w:rsidP="0073032D">
            <w:pPr>
              <w:spacing w:before="40" w:after="40"/>
              <w:rPr>
                <w:rFonts w:ascii="Arial" w:hAnsi="Arial" w:cs="Arial"/>
                <w:sz w:val="18"/>
                <w:szCs w:val="18"/>
              </w:rPr>
            </w:pPr>
            <w:r>
              <w:rPr>
                <w:rFonts w:ascii="Arial" w:hAnsi="Arial" w:cs="Arial"/>
                <w:sz w:val="18"/>
                <w:szCs w:val="18"/>
              </w:rPr>
              <w:t>Article</w:t>
            </w:r>
          </w:p>
        </w:tc>
        <w:tc>
          <w:tcPr>
            <w:tcW w:w="1803" w:type="dxa"/>
          </w:tcPr>
          <w:p w14:paraId="35E7BC4E"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NMA</w:t>
            </w:r>
          </w:p>
        </w:tc>
        <w:tc>
          <w:tcPr>
            <w:tcW w:w="1803" w:type="dxa"/>
          </w:tcPr>
          <w:p w14:paraId="162FDBDF"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Multiple myeloma</w:t>
            </w:r>
          </w:p>
        </w:tc>
        <w:tc>
          <w:tcPr>
            <w:tcW w:w="1804" w:type="dxa"/>
          </w:tcPr>
          <w:p w14:paraId="4512C431" w14:textId="6043F648" w:rsidR="00423007" w:rsidRPr="004D6750" w:rsidRDefault="00AA070D" w:rsidP="0073032D">
            <w:pPr>
              <w:spacing w:before="40" w:after="40"/>
              <w:rPr>
                <w:rFonts w:ascii="Arial" w:hAnsi="Arial" w:cs="Arial"/>
                <w:sz w:val="18"/>
                <w:szCs w:val="18"/>
              </w:rPr>
            </w:pPr>
            <w:r>
              <w:rPr>
                <w:rFonts w:ascii="Arial" w:hAnsi="Arial" w:cs="Arial"/>
                <w:sz w:val="18"/>
                <w:szCs w:val="18"/>
              </w:rPr>
              <w:t>Expert opinion and literature review</w:t>
            </w:r>
          </w:p>
        </w:tc>
      </w:tr>
      <w:tr w:rsidR="00423007" w:rsidRPr="004D6750" w14:paraId="630FA75C" w14:textId="77777777" w:rsidTr="000F6424">
        <w:tc>
          <w:tcPr>
            <w:tcW w:w="1803" w:type="dxa"/>
          </w:tcPr>
          <w:p w14:paraId="422E61E4" w14:textId="403D1316" w:rsidR="00423007" w:rsidRPr="004D6750" w:rsidRDefault="00423007" w:rsidP="0073032D">
            <w:pPr>
              <w:spacing w:before="40" w:after="40"/>
              <w:rPr>
                <w:rFonts w:ascii="Arial" w:hAnsi="Arial" w:cs="Arial"/>
                <w:sz w:val="18"/>
                <w:szCs w:val="18"/>
              </w:rPr>
            </w:pPr>
            <w:r>
              <w:rPr>
                <w:rFonts w:ascii="Arial" w:hAnsi="Arial" w:cs="Arial"/>
                <w:sz w:val="18"/>
                <w:szCs w:val="18"/>
              </w:rPr>
              <w:t>Saramago (2021)</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&lt;EndNote&gt;&lt;Cite&gt;&lt;Author&gt;Saramago&lt;/Author&gt;&lt;Year&gt;2021&lt;/Year&gt;&lt;RecNum&gt;83&lt;/RecNum&gt;&lt;DisplayText&gt;[14]&lt;/DisplayText&gt;&lt;record&gt;&lt;rec-number&gt;83&lt;/rec-number&gt;&lt;foreign-keys&gt;&lt;key app="EN" db-id="rrst9wtabrazd7ezevkxtxzvtv59x9xwzdxs" timestamp="1678615356"&gt;83&lt;/key&gt;&lt;/foreign-keys&gt;&lt;ref-type name="Journal Article"&gt;17&lt;/ref-type&gt;&lt;contributors&gt;&lt;authors&gt;&lt;author&gt;Saramago, Pedro&lt;/author&gt;&lt;author&gt;Gega, Lina&lt;/author&gt;&lt;author&gt;Marshall, David&lt;/author&gt;&lt;author&gt;Nikolaidis, Georgios F&lt;/author&gt;&lt;author&gt;Jankovic, Dina&lt;/author&gt;&lt;author&gt;Melton, Hollie&lt;/author&gt;&lt;author&gt;Dawson, Sarah&lt;/author&gt;&lt;author&gt;Churchill, Rachel&lt;/author&gt;&lt;author&gt;Bojke, Laura&lt;/author&gt;&lt;/authors&gt;&lt;/contributors&gt;&lt;titles&gt;&lt;title&gt;Digital interventions for Generalized Anxiety Disorder (GAD): systematic review and network meta-analysis&lt;/title&gt;&lt;secondary-title&gt;Frontiers in psychiatry&lt;/secondary-title&gt;&lt;/titles&gt;&lt;periodical&gt;&lt;full-title&gt;Frontiers in psychiatry&lt;/full-title&gt;&lt;/periodical&gt;&lt;pages&gt;2158&lt;/pages&gt;&lt;dates&gt;&lt;year&gt;2021&lt;/year&gt;&lt;/dates&gt;&lt;isbn&gt;1664-0640&lt;/isbn&gt;&lt;urls&gt;&lt;/urls&gt;&lt;/record&gt;&lt;/Cite&gt;&lt;/EndNote&gt;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[14]</w:t>
            </w:r>
            <w:r w:rsidR="00233063">
              <w:rPr>
                <w:rFonts w:ascii="Arial" w:hAnsi="Arial" w:cs="Arial"/>
                <w:sz w:val="18"/>
                <w:szCs w:val="18"/>
              </w:rPr>
              <w:fldChar w:fldCharType="end"/>
            </w:r>
          </w:p>
        </w:tc>
        <w:tc>
          <w:tcPr>
            <w:tcW w:w="1803" w:type="dxa"/>
          </w:tcPr>
          <w:p w14:paraId="086E347C" w14:textId="4B7E2A9B" w:rsidR="00423007" w:rsidRPr="004D6750" w:rsidRDefault="006D4BED" w:rsidP="0073032D">
            <w:pPr>
              <w:spacing w:before="40" w:after="40"/>
              <w:rPr>
                <w:rFonts w:ascii="Arial" w:hAnsi="Arial" w:cs="Arial"/>
                <w:sz w:val="18"/>
                <w:szCs w:val="18"/>
              </w:rPr>
            </w:pPr>
            <w:r>
              <w:rPr>
                <w:rFonts w:ascii="Arial" w:hAnsi="Arial" w:cs="Arial"/>
                <w:sz w:val="18"/>
                <w:szCs w:val="18"/>
              </w:rPr>
              <w:t>Article</w:t>
            </w:r>
          </w:p>
        </w:tc>
        <w:tc>
          <w:tcPr>
            <w:tcW w:w="1803" w:type="dxa"/>
          </w:tcPr>
          <w:p w14:paraId="06E0258F"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NMA</w:t>
            </w:r>
          </w:p>
        </w:tc>
        <w:tc>
          <w:tcPr>
            <w:tcW w:w="1803" w:type="dxa"/>
          </w:tcPr>
          <w:p w14:paraId="600D8E61" w14:textId="77777777" w:rsidR="00423007" w:rsidRPr="004D6750" w:rsidRDefault="00423007" w:rsidP="0073032D">
            <w:pPr>
              <w:spacing w:before="40" w:after="40"/>
              <w:rPr>
                <w:rFonts w:ascii="Arial" w:hAnsi="Arial" w:cs="Arial"/>
                <w:sz w:val="18"/>
                <w:szCs w:val="18"/>
              </w:rPr>
            </w:pPr>
            <w:r>
              <w:rPr>
                <w:rFonts w:ascii="Arial" w:hAnsi="Arial" w:cs="Arial"/>
                <w:sz w:val="18"/>
                <w:szCs w:val="18"/>
              </w:rPr>
              <w:t>Generalised anxiety disorder</w:t>
            </w:r>
          </w:p>
        </w:tc>
        <w:tc>
          <w:tcPr>
            <w:tcW w:w="1804" w:type="dxa"/>
          </w:tcPr>
          <w:p w14:paraId="031BF842" w14:textId="1126EAF4" w:rsidR="00423007" w:rsidRPr="004D6750" w:rsidRDefault="00AA070D" w:rsidP="0073032D">
            <w:pPr>
              <w:spacing w:before="40" w:after="40"/>
              <w:rPr>
                <w:rFonts w:ascii="Arial" w:hAnsi="Arial" w:cs="Arial"/>
                <w:sz w:val="18"/>
                <w:szCs w:val="18"/>
              </w:rPr>
            </w:pPr>
            <w:r>
              <w:rPr>
                <w:rFonts w:ascii="Arial" w:hAnsi="Arial" w:cs="Arial"/>
                <w:sz w:val="18"/>
                <w:szCs w:val="18"/>
              </w:rPr>
              <w:t>Literature review</w:t>
            </w:r>
          </w:p>
        </w:tc>
      </w:tr>
      <w:tr w:rsidR="00423007" w:rsidRPr="004D6750" w14:paraId="344EA02D" w14:textId="77777777" w:rsidTr="000F6424">
        <w:tc>
          <w:tcPr>
            <w:tcW w:w="1803" w:type="dxa"/>
          </w:tcPr>
          <w:p w14:paraId="6A9454C8" w14:textId="7BEC84BA"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Veroniki (2015)</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&lt;EndNote&gt;&lt;Cite&gt;&lt;Author&gt;Veroniki&lt;/Author&gt;&lt;Year&gt;2015&lt;/Year&gt;&lt;RecNum&gt;21&lt;/RecNum&gt;&lt;DisplayText&gt;[15]&lt;/DisplayText&gt;&lt;record&gt;&lt;rec-number&gt;21&lt;/rec-number&gt;&lt;foreign-keys&gt;&lt;key app="EN" db-id="rrst9wtabrazd7ezevkxtxzvtv59x9xwzdxs" timestamp="1659977777"&gt;21&lt;/key&gt;&lt;/foreign-keys&gt;&lt;ref-type name="Journal Article"&gt;17&lt;/ref-type&gt;&lt;contributors&gt;&lt;authors&gt;&lt;author&gt;Veroniki, Areti Angeliki&lt;/author&gt;&lt;author&gt;Straus, Sharon E&lt;/author&gt;&lt;author&gt;Ashoor, Huda M&lt;/author&gt;&lt;author&gt;Hamid, Jemila S&lt;/author&gt;&lt;author&gt;Yu, Catherine&lt;/author&gt;&lt;author&gt;Tricco, Andrea C&lt;/author&gt;&lt;/authors&gt;&lt;/contributors&gt;&lt;titles&gt;&lt;title&gt;Safety and effectiveness of long-acting versus intermediate-acting insulin for patients with type 1 diabetes: protocol for a systematic review and individual patient data network meta-analysis&lt;/title&gt;&lt;secondary-title&gt;BMJ open&lt;/secondary-title&gt;&lt;/titles&gt;&lt;periodical&gt;&lt;full-title&gt;BMJ open&lt;/full-title&gt;&lt;/periodical&gt;&lt;pages&gt;e010160&lt;/pages&gt;&lt;volume&gt;5&lt;/volume&gt;&lt;number&gt;12&lt;/number&gt;&lt;dates&gt;&lt;year&gt;2015&lt;/year&gt;&lt;/dates&gt;&lt;isbn&gt;2044-6055&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[15]</w:t>
            </w:r>
            <w:r w:rsidR="00233063">
              <w:rPr>
                <w:rFonts w:ascii="Arial" w:hAnsi="Arial" w:cs="Arial"/>
                <w:sz w:val="18"/>
                <w:szCs w:val="18"/>
              </w:rPr>
              <w:fldChar w:fldCharType="end"/>
            </w:r>
          </w:p>
        </w:tc>
        <w:tc>
          <w:tcPr>
            <w:tcW w:w="1803" w:type="dxa"/>
          </w:tcPr>
          <w:p w14:paraId="57855DC3"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Published protocol</w:t>
            </w:r>
          </w:p>
        </w:tc>
        <w:tc>
          <w:tcPr>
            <w:tcW w:w="1803" w:type="dxa"/>
          </w:tcPr>
          <w:p w14:paraId="326AEB44"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IPD-NMA</w:t>
            </w:r>
          </w:p>
        </w:tc>
        <w:tc>
          <w:tcPr>
            <w:tcW w:w="1803" w:type="dxa"/>
          </w:tcPr>
          <w:p w14:paraId="4AD058FC"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Type 1 diabetes</w:t>
            </w:r>
          </w:p>
        </w:tc>
        <w:tc>
          <w:tcPr>
            <w:tcW w:w="1804" w:type="dxa"/>
          </w:tcPr>
          <w:p w14:paraId="35F287C0" w14:textId="3CCC1908" w:rsidR="00423007" w:rsidRPr="004D6750" w:rsidRDefault="00233063" w:rsidP="0073032D">
            <w:pPr>
              <w:spacing w:before="40" w:after="40"/>
              <w:rPr>
                <w:rFonts w:ascii="Arial" w:hAnsi="Arial" w:cs="Arial"/>
                <w:sz w:val="18"/>
                <w:szCs w:val="18"/>
              </w:rPr>
            </w:pPr>
            <w:r>
              <w:rPr>
                <w:rFonts w:ascii="Arial" w:hAnsi="Arial" w:cs="Arial"/>
                <w:sz w:val="18"/>
                <w:szCs w:val="18"/>
              </w:rPr>
              <w:t>IPD analysis</w:t>
            </w:r>
          </w:p>
        </w:tc>
      </w:tr>
      <w:tr w:rsidR="00423007" w:rsidRPr="004D6750" w14:paraId="524B0B85" w14:textId="77777777" w:rsidTr="000F6424">
        <w:tc>
          <w:tcPr>
            <w:tcW w:w="1803" w:type="dxa"/>
          </w:tcPr>
          <w:p w14:paraId="4763A681" w14:textId="10749435"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Wade (2020)</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&lt;EndNote&gt;&lt;Cite&gt;&lt;Author&gt;Wade&lt;/Author&gt;&lt;Year&gt;2020&lt;/Year&gt;&lt;RecNum&gt;29&lt;/RecNum&gt;&lt;DisplayText&gt;[16]&lt;/DisplayText&gt;&lt;record&gt;&lt;rec-number&gt;29&lt;/rec-number&gt;&lt;foreign-keys&gt;&lt;key app="EN" db-id="rrst9wtabrazd7ezevkxtxzvtv59x9xwzdxs" timestamp="1659977928"&gt;29&lt;/key&gt;&lt;/foreign-keys&gt;&lt;ref-type name="Journal Article"&gt;17&lt;/ref-type&gt;&lt;contributors&gt;&lt;authors&gt;&lt;author&gt;Wade, Ros&lt;/author&gt;&lt;author&gt;Sharif-Hurst, Sahar&lt;/author&gt;&lt;author&gt;Dias, Sofia&lt;/author&gt;&lt;/authors&gt;&lt;/contributors&gt;&lt;titles&gt;&lt;title&gt;Patient characteristics as effect modifiers for psoriasis biologic treatment response: an assessment using network meta-analysis subgroups&lt;/title&gt;&lt;secondary-title&gt;Systematic reviews&lt;/secondary-title&gt;&lt;/titles&gt;&lt;periodical&gt;&lt;full-title&gt;Systematic reviews&lt;/full-title&gt;&lt;/periodical&gt;&lt;pages&gt;1-15&lt;/pages&gt;&lt;volume&gt;9&lt;/volume&gt;&lt;number&gt;1&lt;/number&gt;&lt;dates&gt;&lt;year&gt;2020&lt;/year&gt;&lt;/dates&gt;&lt;isbn&gt;2046-4053&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[16]</w:t>
            </w:r>
            <w:r w:rsidR="00233063">
              <w:rPr>
                <w:rFonts w:ascii="Arial" w:hAnsi="Arial" w:cs="Arial"/>
                <w:sz w:val="18"/>
                <w:szCs w:val="18"/>
              </w:rPr>
              <w:fldChar w:fldCharType="end"/>
            </w:r>
          </w:p>
        </w:tc>
        <w:tc>
          <w:tcPr>
            <w:tcW w:w="1803" w:type="dxa"/>
          </w:tcPr>
          <w:p w14:paraId="54F779A1"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3501FC5E"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 (in NICE TAs)</w:t>
            </w:r>
          </w:p>
        </w:tc>
        <w:tc>
          <w:tcPr>
            <w:tcW w:w="1803" w:type="dxa"/>
          </w:tcPr>
          <w:p w14:paraId="283B64B0"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Psoriasis</w:t>
            </w:r>
          </w:p>
        </w:tc>
        <w:tc>
          <w:tcPr>
            <w:tcW w:w="1804" w:type="dxa"/>
          </w:tcPr>
          <w:p w14:paraId="099272CE"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Expert opinion</w:t>
            </w:r>
          </w:p>
        </w:tc>
      </w:tr>
      <w:tr w:rsidR="00423007" w:rsidRPr="004D6750" w14:paraId="112B0B7E" w14:textId="77777777" w:rsidTr="000F6424">
        <w:tc>
          <w:tcPr>
            <w:tcW w:w="1803" w:type="dxa"/>
          </w:tcPr>
          <w:p w14:paraId="2405E07C" w14:textId="4EAA2C38"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Wright (2021)</w:t>
            </w:r>
            <w:r w:rsidR="00233063">
              <w:rPr>
                <w:rFonts w:ascii="Arial" w:hAnsi="Arial" w:cs="Arial"/>
                <w:sz w:val="18"/>
                <w:szCs w:val="18"/>
              </w:rPr>
              <w:fldChar w:fldCharType="begin"/>
            </w:r>
            <w:r w:rsidR="00732713">
              <w:rPr>
                <w:rFonts w:ascii="Arial" w:hAnsi="Arial" w:cs="Arial"/>
                <w:sz w:val="18"/>
                <w:szCs w:val="18"/>
              </w:rPr>
              <w:instrText xml:space="preserve"> ADDIN EN.CITE &lt;EndNote&gt;&lt;Cite&gt;&lt;Author&gt;Wright&lt;/Author&gt;&lt;Year&gt;2021&lt;/Year&gt;&lt;RecNum&gt;31&lt;/RecNum&gt;&lt;DisplayText&gt;[17]&lt;/DisplayText&gt;&lt;record&gt;&lt;rec-number&gt;31&lt;/rec-number&gt;&lt;foreign-keys&gt;&lt;key app="EN" db-id="rrst9wtabrazd7ezevkxtxzvtv59x9xwzdxs" timestamp="1659977954"&gt;31&lt;/key&gt;&lt;/foreign-keys&gt;&lt;ref-type name="Journal Article"&gt;17&lt;/ref-type&gt;&lt;contributors&gt;&lt;authors&gt;&lt;author&gt;Wright, Emily&lt;/author&gt;&lt;author&gt;Yasmeen, Najeeda&lt;/author&gt;&lt;author&gt;Malottki, Kinga&lt;/author&gt;&lt;author&gt;Sawyer, Laura M&lt;/author&gt;&lt;author&gt;Borg, Emma&lt;/author&gt;&lt;author&gt;Schwenke, Carsten&lt;/author&gt;&lt;author&gt;Warren, Richard B&lt;/author&gt;&lt;/authors&gt;&lt;/contributors&gt;&lt;titles&gt;&lt;title&gt;Assessing the quality and coherence of network meta-analyses of biologics in plaque psoriasis: what does all this evidence synthesis tell us?&lt;/title&gt;&lt;secondary-title&gt;Dermatology and therapy&lt;/secondary-title&gt;&lt;/titles&gt;&lt;periodical&gt;&lt;full-title&gt;Dermatology and therapy&lt;/full-title&gt;&lt;/periodical&gt;&lt;pages&gt;181-220&lt;/pages&gt;&lt;volume&gt;11&lt;/volume&gt;&lt;number&gt;1&lt;/number&gt;&lt;dates&gt;&lt;year&gt;2021&lt;/year&gt;&lt;/dates&gt;&lt;isbn&gt;2190-9172&lt;/isbn&gt;&lt;urls&gt;&lt;/urls&gt;&lt;/record&gt;&lt;/Cite&gt;&lt;/EndNote&gt;</w:instrText>
            </w:r>
            <w:r w:rsidR="00233063">
              <w:rPr>
                <w:rFonts w:ascii="Arial" w:hAnsi="Arial" w:cs="Arial"/>
                <w:sz w:val="18"/>
                <w:szCs w:val="18"/>
              </w:rPr>
              <w:fldChar w:fldCharType="separate"/>
            </w:r>
            <w:r w:rsidR="00732713">
              <w:rPr>
                <w:rFonts w:ascii="Arial" w:hAnsi="Arial" w:cs="Arial"/>
                <w:noProof/>
                <w:sz w:val="18"/>
                <w:szCs w:val="18"/>
              </w:rPr>
              <w:t>[17]</w:t>
            </w:r>
            <w:r w:rsidR="00233063">
              <w:rPr>
                <w:rFonts w:ascii="Arial" w:hAnsi="Arial" w:cs="Arial"/>
                <w:sz w:val="18"/>
                <w:szCs w:val="18"/>
              </w:rPr>
              <w:fldChar w:fldCharType="end"/>
            </w:r>
          </w:p>
        </w:tc>
        <w:tc>
          <w:tcPr>
            <w:tcW w:w="1803" w:type="dxa"/>
          </w:tcPr>
          <w:p w14:paraId="1081AF7F"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Review</w:t>
            </w:r>
          </w:p>
        </w:tc>
        <w:tc>
          <w:tcPr>
            <w:tcW w:w="1803" w:type="dxa"/>
          </w:tcPr>
          <w:p w14:paraId="5A364253"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NMA</w:t>
            </w:r>
          </w:p>
        </w:tc>
        <w:tc>
          <w:tcPr>
            <w:tcW w:w="1803" w:type="dxa"/>
          </w:tcPr>
          <w:p w14:paraId="6E9B43EA"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Psoriasis</w:t>
            </w:r>
          </w:p>
        </w:tc>
        <w:tc>
          <w:tcPr>
            <w:tcW w:w="1804" w:type="dxa"/>
          </w:tcPr>
          <w:p w14:paraId="55895913" w14:textId="77777777" w:rsidR="00423007" w:rsidRPr="004D6750" w:rsidRDefault="00423007" w:rsidP="0073032D">
            <w:pPr>
              <w:spacing w:before="40" w:after="40"/>
              <w:rPr>
                <w:rFonts w:ascii="Arial" w:hAnsi="Arial" w:cs="Arial"/>
                <w:sz w:val="18"/>
                <w:szCs w:val="18"/>
              </w:rPr>
            </w:pPr>
            <w:r w:rsidRPr="004D6750">
              <w:rPr>
                <w:rFonts w:ascii="Arial" w:hAnsi="Arial" w:cs="Arial"/>
                <w:sz w:val="18"/>
                <w:szCs w:val="18"/>
              </w:rPr>
              <w:t>Unclear</w:t>
            </w:r>
          </w:p>
        </w:tc>
      </w:tr>
    </w:tbl>
    <w:p w14:paraId="5414E717" w14:textId="2C80428A" w:rsidR="00FB4E3C" w:rsidRDefault="001A2299" w:rsidP="0039075C">
      <w:pPr>
        <w:rPr>
          <w:rFonts w:ascii="Arial" w:hAnsi="Arial" w:cs="Arial"/>
          <w:sz w:val="18"/>
          <w:szCs w:val="18"/>
        </w:rPr>
      </w:pPr>
      <w:r w:rsidRPr="004D6750">
        <w:rPr>
          <w:rFonts w:ascii="Arial" w:hAnsi="Arial" w:cs="Arial"/>
          <w:sz w:val="18"/>
          <w:szCs w:val="18"/>
        </w:rPr>
        <w:t xml:space="preserve">Abbreviations: </w:t>
      </w:r>
      <w:r w:rsidR="00823E81" w:rsidRPr="004D6750">
        <w:rPr>
          <w:rFonts w:ascii="Arial" w:hAnsi="Arial" w:cs="Arial"/>
          <w:sz w:val="18"/>
          <w:szCs w:val="18"/>
        </w:rPr>
        <w:t xml:space="preserve">EM = effect modifier; </w:t>
      </w:r>
      <w:r w:rsidRPr="004D6750">
        <w:rPr>
          <w:rFonts w:ascii="Arial" w:hAnsi="Arial" w:cs="Arial"/>
          <w:sz w:val="18"/>
          <w:szCs w:val="18"/>
        </w:rPr>
        <w:t xml:space="preserve">IPD = individual patient data; MAIC = matching-adjusted indirect comparison; </w:t>
      </w:r>
      <w:r w:rsidR="000C27AE" w:rsidRPr="004D6750">
        <w:rPr>
          <w:rFonts w:ascii="Arial" w:hAnsi="Arial" w:cs="Arial"/>
          <w:sz w:val="18"/>
          <w:szCs w:val="18"/>
        </w:rPr>
        <w:t xml:space="preserve">N/A = not applicable; </w:t>
      </w:r>
      <w:r w:rsidRPr="004D6750">
        <w:rPr>
          <w:rFonts w:ascii="Arial" w:hAnsi="Arial" w:cs="Arial"/>
          <w:sz w:val="18"/>
          <w:szCs w:val="18"/>
        </w:rPr>
        <w:t>NMA = network meta-analysis</w:t>
      </w:r>
      <w:r w:rsidR="00823E81" w:rsidRPr="004D6750">
        <w:rPr>
          <w:rFonts w:ascii="Arial" w:hAnsi="Arial" w:cs="Arial"/>
          <w:sz w:val="18"/>
          <w:szCs w:val="18"/>
        </w:rPr>
        <w:t xml:space="preserve">; </w:t>
      </w:r>
      <w:r w:rsidR="000C27AE" w:rsidRPr="004D6750">
        <w:rPr>
          <w:rFonts w:ascii="Arial" w:hAnsi="Arial" w:cs="Arial"/>
          <w:sz w:val="18"/>
          <w:szCs w:val="18"/>
        </w:rPr>
        <w:t xml:space="preserve">SLR = systematic literature review; </w:t>
      </w:r>
      <w:r w:rsidR="00E97D9D">
        <w:rPr>
          <w:rFonts w:ascii="Arial" w:hAnsi="Arial" w:cs="Arial"/>
          <w:sz w:val="18"/>
          <w:szCs w:val="18"/>
        </w:rPr>
        <w:t xml:space="preserve">STC = simulated treatment comparison; </w:t>
      </w:r>
      <w:r w:rsidR="00823E81" w:rsidRPr="004D6750">
        <w:rPr>
          <w:rFonts w:ascii="Arial" w:hAnsi="Arial" w:cs="Arial"/>
          <w:sz w:val="18"/>
          <w:szCs w:val="18"/>
        </w:rPr>
        <w:t>TA = technology appraisal</w:t>
      </w:r>
    </w:p>
    <w:p w14:paraId="5F836C68" w14:textId="77777777" w:rsidR="00F54B6A" w:rsidRDefault="00F54B6A" w:rsidP="0039075C">
      <w:pPr>
        <w:rPr>
          <w:rFonts w:ascii="Arial" w:hAnsi="Arial" w:cs="Arial"/>
          <w:sz w:val="18"/>
          <w:szCs w:val="18"/>
        </w:rPr>
      </w:pPr>
    </w:p>
    <w:p w14:paraId="7C876E2F" w14:textId="52BB3F19" w:rsidR="00F54B6A" w:rsidRPr="00732713" w:rsidRDefault="00F54B6A" w:rsidP="0039075C">
      <w:pPr>
        <w:rPr>
          <w:rFonts w:ascii="Arial" w:hAnsi="Arial" w:cs="Arial"/>
          <w:b/>
          <w:bCs/>
          <w:sz w:val="20"/>
          <w:szCs w:val="20"/>
        </w:rPr>
      </w:pPr>
      <w:r w:rsidRPr="00732713">
        <w:rPr>
          <w:rFonts w:ascii="Arial" w:hAnsi="Arial" w:cs="Arial"/>
          <w:b/>
          <w:bCs/>
          <w:sz w:val="20"/>
          <w:szCs w:val="20"/>
        </w:rPr>
        <w:t>REFERENCES</w:t>
      </w:r>
    </w:p>
    <w:p w14:paraId="3BD16D70" w14:textId="77777777" w:rsidR="002233D7" w:rsidRPr="002233D7" w:rsidRDefault="00732713" w:rsidP="002233D7">
      <w:pPr>
        <w:pStyle w:val="EndNoteBibliography"/>
        <w:spacing w:after="0"/>
      </w:pPr>
      <w:r w:rsidRPr="00732713">
        <w:rPr>
          <w:rFonts w:ascii="Arial" w:hAnsi="Arial" w:cs="Arial"/>
          <w:sz w:val="20"/>
          <w:szCs w:val="20"/>
        </w:rPr>
        <w:fldChar w:fldCharType="begin"/>
      </w:r>
      <w:r w:rsidRPr="00732713">
        <w:rPr>
          <w:rFonts w:ascii="Arial" w:hAnsi="Arial" w:cs="Arial"/>
          <w:sz w:val="20"/>
          <w:szCs w:val="20"/>
        </w:rPr>
        <w:instrText xml:space="preserve"> ADDIN EN.REFLIST </w:instrText>
      </w:r>
      <w:r w:rsidRPr="00732713">
        <w:rPr>
          <w:rFonts w:ascii="Arial" w:hAnsi="Arial" w:cs="Arial"/>
          <w:sz w:val="20"/>
          <w:szCs w:val="20"/>
        </w:rPr>
        <w:fldChar w:fldCharType="separate"/>
      </w:r>
      <w:r w:rsidR="002233D7" w:rsidRPr="002233D7">
        <w:t>[1]</w:t>
      </w:r>
      <w:r w:rsidR="002233D7" w:rsidRPr="002233D7">
        <w:tab/>
        <w:t xml:space="preserve">Al-Moraissi E, Alkhutari A, Abotaleb B, Altairi N, Del Fabbro M. Do osteoconductive bone substitutes result in similar bone regeneration for maxillary sinus augmentation when compared to osteogenic and osteoinductive bone grafts? A systematic review and frequentist network meta-analysis. </w:t>
      </w:r>
      <w:r w:rsidR="002233D7" w:rsidRPr="002233D7">
        <w:rPr>
          <w:i/>
        </w:rPr>
        <w:t>International journal of oral and maxillofacial surgery</w:t>
      </w:r>
      <w:r w:rsidR="002233D7" w:rsidRPr="002233D7">
        <w:t>. 49(1), 107-20 (2020).</w:t>
      </w:r>
    </w:p>
    <w:p w14:paraId="416CD7E4" w14:textId="77777777" w:rsidR="002233D7" w:rsidRPr="002233D7" w:rsidRDefault="002233D7" w:rsidP="002233D7">
      <w:pPr>
        <w:pStyle w:val="EndNoteBibliography"/>
        <w:spacing w:after="0"/>
      </w:pPr>
      <w:r w:rsidRPr="002233D7">
        <w:t>[2]</w:t>
      </w:r>
      <w:r w:rsidRPr="002233D7">
        <w:tab/>
        <w:t xml:space="preserve">Bourdin A, Husereau D, Molinari N, et al. Matching-adjusted indirect comparison of benralizumab versus interleukin-5 inhibitors for the treatment of severe asthma: a systematic review. </w:t>
      </w:r>
      <w:r w:rsidRPr="002233D7">
        <w:rPr>
          <w:i/>
        </w:rPr>
        <w:t>European Respiratory Journal</w:t>
      </w:r>
      <w:r w:rsidRPr="002233D7">
        <w:t>. 52(5),  (2018).</w:t>
      </w:r>
    </w:p>
    <w:p w14:paraId="484E02B0" w14:textId="77777777" w:rsidR="002233D7" w:rsidRPr="002233D7" w:rsidRDefault="002233D7" w:rsidP="002233D7">
      <w:pPr>
        <w:pStyle w:val="EndNoteBibliography"/>
        <w:spacing w:after="0"/>
      </w:pPr>
      <w:r w:rsidRPr="002233D7">
        <w:t>[3]</w:t>
      </w:r>
      <w:r w:rsidRPr="002233D7">
        <w:tab/>
        <w:t xml:space="preserve">Cope S, Clemens A, Hammes F, Noack H, Jansen JP. Critical appraisal of network meta-analyses evaluating the efficacy and safety of new oral anticoagulants in atrial fibrillation stroke prevention trials. </w:t>
      </w:r>
      <w:r w:rsidRPr="002233D7">
        <w:rPr>
          <w:i/>
        </w:rPr>
        <w:t>Value in Health</w:t>
      </w:r>
      <w:r w:rsidRPr="002233D7">
        <w:t>. 18(2), 234-49 (2015).</w:t>
      </w:r>
    </w:p>
    <w:p w14:paraId="0E8EB9F9" w14:textId="77777777" w:rsidR="002233D7" w:rsidRPr="002233D7" w:rsidRDefault="002233D7" w:rsidP="002233D7">
      <w:pPr>
        <w:pStyle w:val="EndNoteBibliography"/>
        <w:spacing w:after="0"/>
      </w:pPr>
      <w:r w:rsidRPr="002233D7">
        <w:t>[4]</w:t>
      </w:r>
      <w:r w:rsidRPr="002233D7">
        <w:tab/>
        <w:t xml:space="preserve">Cope S, Toor K, Popoff E, et al. Critical appraisal of published indirect comparisons and network meta-analyses of competing interventions for multiple myeloma. </w:t>
      </w:r>
      <w:r w:rsidRPr="002233D7">
        <w:rPr>
          <w:i/>
        </w:rPr>
        <w:t>Value in Health</w:t>
      </w:r>
      <w:r w:rsidRPr="002233D7">
        <w:t>. 23(4), 441-50 (2020).</w:t>
      </w:r>
    </w:p>
    <w:p w14:paraId="68417391" w14:textId="77777777" w:rsidR="002233D7" w:rsidRPr="002233D7" w:rsidRDefault="002233D7" w:rsidP="002233D7">
      <w:pPr>
        <w:pStyle w:val="EndNoteBibliography"/>
        <w:spacing w:after="0"/>
      </w:pPr>
      <w:r w:rsidRPr="002233D7">
        <w:t>[5]</w:t>
      </w:r>
      <w:r w:rsidRPr="002233D7">
        <w:tab/>
        <w:t xml:space="preserve">Furukawa TA, Schramm E, Weitz ES, et al. Cognitive-Behavioural Analysis System of Psychotherapy (CBASP), a drug, or their combination: differential therapeutics for persistent depressive disorder: a study protocol of an individual participant data network meta-analysis. </w:t>
      </w:r>
      <w:r w:rsidRPr="002233D7">
        <w:rPr>
          <w:i/>
        </w:rPr>
        <w:t>BMJ open</w:t>
      </w:r>
      <w:r w:rsidRPr="002233D7">
        <w:t>. 6(5), e011769 (2016).</w:t>
      </w:r>
    </w:p>
    <w:p w14:paraId="76560EB3" w14:textId="77777777" w:rsidR="002233D7" w:rsidRPr="002233D7" w:rsidRDefault="002233D7" w:rsidP="002233D7">
      <w:pPr>
        <w:pStyle w:val="EndNoteBibliography"/>
        <w:spacing w:after="0"/>
      </w:pPr>
      <w:r w:rsidRPr="002233D7">
        <w:t>[6]</w:t>
      </w:r>
      <w:r w:rsidRPr="002233D7">
        <w:tab/>
        <w:t xml:space="preserve">Furukawa TA, Karyotaki E, Suganuma A, et al. Dismantling, personalising and optimising internet cognitive–behavioural therapy for depression: a study protocol for individual participant data component network meta-analysis. </w:t>
      </w:r>
      <w:r w:rsidRPr="002233D7">
        <w:rPr>
          <w:i/>
        </w:rPr>
        <w:t>BMJ open</w:t>
      </w:r>
      <w:r w:rsidRPr="002233D7">
        <w:t>. 8(11), e026137 (2018).</w:t>
      </w:r>
    </w:p>
    <w:p w14:paraId="63901E17" w14:textId="77777777" w:rsidR="002233D7" w:rsidRPr="002233D7" w:rsidRDefault="002233D7" w:rsidP="002233D7">
      <w:pPr>
        <w:pStyle w:val="EndNoteBibliography"/>
        <w:spacing w:after="0"/>
      </w:pPr>
      <w:r w:rsidRPr="002233D7">
        <w:t>[7]</w:t>
      </w:r>
      <w:r w:rsidRPr="002233D7">
        <w:tab/>
        <w:t xml:space="preserve">Kanters S, Renaud F, Rangaraj A, et al. Evidence synthesis evaluating body weight gain among people treating HIV with antiretroviral therapy-a systematic literature review and network meta-analysis. </w:t>
      </w:r>
      <w:r w:rsidRPr="002233D7">
        <w:rPr>
          <w:i/>
        </w:rPr>
        <w:t>Eclinicalmedicine</w:t>
      </w:r>
      <w:r w:rsidRPr="002233D7">
        <w:t>. 48, 101412 (2022).</w:t>
      </w:r>
    </w:p>
    <w:p w14:paraId="6F32318B" w14:textId="77777777" w:rsidR="002233D7" w:rsidRPr="002233D7" w:rsidRDefault="002233D7" w:rsidP="002233D7">
      <w:pPr>
        <w:pStyle w:val="EndNoteBibliography"/>
        <w:spacing w:after="0"/>
      </w:pPr>
      <w:r w:rsidRPr="002233D7">
        <w:t>[8]</w:t>
      </w:r>
      <w:r w:rsidRPr="002233D7">
        <w:tab/>
        <w:t xml:space="preserve">Kovic B, Zoratti MJ, Michalopoulos S, Silvestre C, Thorlund K, Thabane L. Deficiencies in addressing effect modification in network meta-analyses: a meta-epidemiological survey. </w:t>
      </w:r>
      <w:r w:rsidRPr="002233D7">
        <w:rPr>
          <w:i/>
        </w:rPr>
        <w:t>Journal of Clinical Epidemiology</w:t>
      </w:r>
      <w:r w:rsidRPr="002233D7">
        <w:t>. 88, 47-56 (2017).</w:t>
      </w:r>
    </w:p>
    <w:p w14:paraId="5AC45334" w14:textId="77777777" w:rsidR="002233D7" w:rsidRPr="002233D7" w:rsidRDefault="002233D7" w:rsidP="002233D7">
      <w:pPr>
        <w:pStyle w:val="EndNoteBibliography"/>
        <w:spacing w:after="0"/>
      </w:pPr>
      <w:r w:rsidRPr="002233D7">
        <w:t>[9]</w:t>
      </w:r>
      <w:r w:rsidRPr="002233D7">
        <w:tab/>
        <w:t xml:space="preserve">McGirr A, Iqbal SM, Izurieta P, et al. A systematic literature review and network meta-analysis feasibility study to assess the comparative efficacy and comparative effectiveness of pneumococcal conjugate vaccines. </w:t>
      </w:r>
      <w:r w:rsidRPr="002233D7">
        <w:rPr>
          <w:i/>
        </w:rPr>
        <w:t>Human vaccines &amp; immunotherapeutics</w:t>
      </w:r>
      <w:r w:rsidRPr="002233D7">
        <w:t>. 15(11), 2713-24 (2019).</w:t>
      </w:r>
    </w:p>
    <w:p w14:paraId="76641E70" w14:textId="77777777" w:rsidR="002233D7" w:rsidRPr="002233D7" w:rsidRDefault="002233D7" w:rsidP="002233D7">
      <w:pPr>
        <w:pStyle w:val="EndNoteBibliography"/>
        <w:spacing w:after="0"/>
      </w:pPr>
      <w:r w:rsidRPr="002233D7">
        <w:lastRenderedPageBreak/>
        <w:t>[10]</w:t>
      </w:r>
      <w:r w:rsidRPr="002233D7">
        <w:tab/>
        <w:t xml:space="preserve">Menzies-Gow A, Steenkamp J, Singh S, et al. Tezepelumab compared with other biologics for the treatment of severe asthma: a systematic review and indirect treatment comparison. </w:t>
      </w:r>
      <w:r w:rsidRPr="002233D7">
        <w:rPr>
          <w:i/>
        </w:rPr>
        <w:t>Journal of Medical Economics</w:t>
      </w:r>
      <w:r w:rsidRPr="002233D7">
        <w:t>. 25(1), 679-90 (2022).</w:t>
      </w:r>
    </w:p>
    <w:p w14:paraId="5E712475" w14:textId="77777777" w:rsidR="002233D7" w:rsidRPr="002233D7" w:rsidRDefault="002233D7" w:rsidP="002233D7">
      <w:pPr>
        <w:pStyle w:val="EndNoteBibliography"/>
        <w:spacing w:after="0"/>
      </w:pPr>
      <w:r w:rsidRPr="002233D7">
        <w:t>[11]</w:t>
      </w:r>
      <w:r w:rsidRPr="002233D7">
        <w:tab/>
        <w:t xml:space="preserve">Nikolin S, Owens K, Francis-Taylor R, et al. Comparative efficacy, cognitive effects and acceptability of electroconvulsive therapies for the treatment of depression: protocol for a systematic review and network meta-analysis. </w:t>
      </w:r>
      <w:r w:rsidRPr="002233D7">
        <w:rPr>
          <w:i/>
        </w:rPr>
        <w:t>BMJ open</w:t>
      </w:r>
      <w:r w:rsidRPr="002233D7">
        <w:t>. 12(12), e068313 (2022).</w:t>
      </w:r>
    </w:p>
    <w:p w14:paraId="04EC2FE7" w14:textId="77777777" w:rsidR="002233D7" w:rsidRPr="002233D7" w:rsidRDefault="002233D7" w:rsidP="002233D7">
      <w:pPr>
        <w:pStyle w:val="EndNoteBibliography"/>
        <w:spacing w:after="0"/>
      </w:pPr>
      <w:r w:rsidRPr="002233D7">
        <w:t>[12]</w:t>
      </w:r>
      <w:r w:rsidRPr="002233D7">
        <w:tab/>
        <w:t xml:space="preserve">Phillippo DM, Dias S, Elsada A, Ades A, Welton NJ. Population adjustment methods for indirect comparisons: a review of national institute for health and care excellence technology appraisals. </w:t>
      </w:r>
      <w:r w:rsidRPr="002233D7">
        <w:rPr>
          <w:i/>
        </w:rPr>
        <w:t>International journal of technology assessment in health care</w:t>
      </w:r>
      <w:r w:rsidRPr="002233D7">
        <w:t>. 35(3), 221-8 (2019).</w:t>
      </w:r>
    </w:p>
    <w:p w14:paraId="18AC03E6" w14:textId="77777777" w:rsidR="002233D7" w:rsidRPr="002233D7" w:rsidRDefault="002233D7" w:rsidP="002233D7">
      <w:pPr>
        <w:pStyle w:val="EndNoteBibliography"/>
        <w:spacing w:after="0"/>
      </w:pPr>
      <w:r w:rsidRPr="002233D7">
        <w:t>[13]</w:t>
      </w:r>
      <w:r w:rsidRPr="002233D7">
        <w:tab/>
        <w:t xml:space="preserve">Rose CJ, Ohm IK, Giske L, Næss GE, Fretheim A. Effect modification in network meta-analyses of treatments for relapsing refractory multiple myeloma (RRMM): systematic review, meta-analysis, and simulation. </w:t>
      </w:r>
      <w:r w:rsidRPr="002233D7">
        <w:rPr>
          <w:i/>
        </w:rPr>
        <w:t>medRxiv</w:t>
      </w:r>
      <w:r w:rsidRPr="002233D7">
        <w:t>. 2022.05. 13.22275047 (2022).</w:t>
      </w:r>
    </w:p>
    <w:p w14:paraId="00BAEC95" w14:textId="77777777" w:rsidR="002233D7" w:rsidRPr="002233D7" w:rsidRDefault="002233D7" w:rsidP="002233D7">
      <w:pPr>
        <w:pStyle w:val="EndNoteBibliography"/>
        <w:spacing w:after="0"/>
      </w:pPr>
      <w:r w:rsidRPr="002233D7">
        <w:t>[14]</w:t>
      </w:r>
      <w:r w:rsidRPr="002233D7">
        <w:tab/>
        <w:t xml:space="preserve">Saramago P, Gega L, Marshall D, et al. Digital interventions for Generalized Anxiety Disorder (GAD): systematic review and network meta-analysis. </w:t>
      </w:r>
      <w:r w:rsidRPr="002233D7">
        <w:rPr>
          <w:i/>
        </w:rPr>
        <w:t>Frontiers in psychiatry</w:t>
      </w:r>
      <w:r w:rsidRPr="002233D7">
        <w:t>. 2158 (2021).</w:t>
      </w:r>
    </w:p>
    <w:p w14:paraId="001B9C22" w14:textId="77777777" w:rsidR="002233D7" w:rsidRPr="002233D7" w:rsidRDefault="002233D7" w:rsidP="002233D7">
      <w:pPr>
        <w:pStyle w:val="EndNoteBibliography"/>
        <w:spacing w:after="0"/>
      </w:pPr>
      <w:r w:rsidRPr="002233D7">
        <w:t>[15]</w:t>
      </w:r>
      <w:r w:rsidRPr="002233D7">
        <w:tab/>
        <w:t xml:space="preserve">Veroniki AA, Straus SE, Ashoor HM, Hamid JS, Yu C, Tricco AC. Safety and effectiveness of long-acting versus intermediate-acting insulin for patients with type 1 diabetes: protocol for a systematic review and individual patient data network meta-analysis. </w:t>
      </w:r>
      <w:r w:rsidRPr="002233D7">
        <w:rPr>
          <w:i/>
        </w:rPr>
        <w:t>BMJ open</w:t>
      </w:r>
      <w:r w:rsidRPr="002233D7">
        <w:t>. 5(12), e010160 (2015).</w:t>
      </w:r>
    </w:p>
    <w:p w14:paraId="043EBA8B" w14:textId="77777777" w:rsidR="002233D7" w:rsidRPr="002233D7" w:rsidRDefault="002233D7" w:rsidP="002233D7">
      <w:pPr>
        <w:pStyle w:val="EndNoteBibliography"/>
        <w:spacing w:after="0"/>
      </w:pPr>
      <w:r w:rsidRPr="002233D7">
        <w:t>[16]</w:t>
      </w:r>
      <w:r w:rsidRPr="002233D7">
        <w:tab/>
        <w:t xml:space="preserve">Wade R, Sharif-Hurst S, Dias S. Patient characteristics as effect modifiers for psoriasis biologic treatment response: an assessment using network meta-analysis subgroups. </w:t>
      </w:r>
      <w:r w:rsidRPr="002233D7">
        <w:rPr>
          <w:i/>
        </w:rPr>
        <w:t>Systematic reviews</w:t>
      </w:r>
      <w:r w:rsidRPr="002233D7">
        <w:t>. 9(1), 1-15 (2020).</w:t>
      </w:r>
    </w:p>
    <w:p w14:paraId="49DD6968" w14:textId="77777777" w:rsidR="002233D7" w:rsidRPr="002233D7" w:rsidRDefault="002233D7" w:rsidP="002233D7">
      <w:pPr>
        <w:pStyle w:val="EndNoteBibliography"/>
      </w:pPr>
      <w:r w:rsidRPr="002233D7">
        <w:t>[17]</w:t>
      </w:r>
      <w:r w:rsidRPr="002233D7">
        <w:tab/>
        <w:t xml:space="preserve">Wright E, Yasmeen N, Malottki K, et al. Assessing the quality and coherence of network meta-analyses of biologics in plaque psoriasis: what does all this evidence synthesis tell us? </w:t>
      </w:r>
      <w:r w:rsidRPr="002233D7">
        <w:rPr>
          <w:i/>
        </w:rPr>
        <w:t>Dermatology and therapy</w:t>
      </w:r>
      <w:r w:rsidRPr="002233D7">
        <w:t>. 11(1), 181-220 (2021).</w:t>
      </w:r>
    </w:p>
    <w:p w14:paraId="681BF22F" w14:textId="5C55279C" w:rsidR="00A34806" w:rsidRPr="004D6750" w:rsidRDefault="00732713" w:rsidP="00357476">
      <w:pPr>
        <w:rPr>
          <w:rFonts w:ascii="Arial" w:hAnsi="Arial" w:cs="Arial"/>
        </w:rPr>
      </w:pPr>
      <w:r w:rsidRPr="00732713">
        <w:rPr>
          <w:rFonts w:ascii="Arial" w:hAnsi="Arial" w:cs="Arial"/>
          <w:sz w:val="20"/>
          <w:szCs w:val="20"/>
        </w:rPr>
        <w:fldChar w:fldCharType="end"/>
      </w:r>
    </w:p>
    <w:sectPr w:rsidR="00A34806" w:rsidRPr="004D675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1653E" w14:textId="77777777" w:rsidR="00845DF2" w:rsidRDefault="00845DF2" w:rsidP="00CD72DE">
      <w:pPr>
        <w:spacing w:after="0" w:line="240" w:lineRule="auto"/>
      </w:pPr>
      <w:r>
        <w:separator/>
      </w:r>
    </w:p>
  </w:endnote>
  <w:endnote w:type="continuationSeparator" w:id="0">
    <w:p w14:paraId="5E439AB2" w14:textId="77777777" w:rsidR="00845DF2" w:rsidRDefault="00845DF2" w:rsidP="00CD72DE">
      <w:pPr>
        <w:spacing w:after="0" w:line="240" w:lineRule="auto"/>
      </w:pPr>
      <w:r>
        <w:continuationSeparator/>
      </w:r>
    </w:p>
  </w:endnote>
  <w:endnote w:type="continuationNotice" w:id="1">
    <w:p w14:paraId="2B44DA96" w14:textId="77777777" w:rsidR="00845DF2" w:rsidRDefault="00845D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9981376"/>
      <w:docPartObj>
        <w:docPartGallery w:val="Page Numbers (Bottom of Page)"/>
        <w:docPartUnique/>
      </w:docPartObj>
    </w:sdtPr>
    <w:sdtEndPr>
      <w:rPr>
        <w:b/>
        <w:bCs/>
        <w:noProof/>
      </w:rPr>
    </w:sdtEndPr>
    <w:sdtContent>
      <w:p w14:paraId="515AB5BB" w14:textId="6FE1FBF9" w:rsidR="001B53A1" w:rsidRPr="001B53A1" w:rsidRDefault="001B53A1">
        <w:pPr>
          <w:pStyle w:val="Footer"/>
          <w:jc w:val="center"/>
          <w:rPr>
            <w:b/>
            <w:bCs/>
          </w:rPr>
        </w:pPr>
        <w:r w:rsidRPr="001B53A1">
          <w:rPr>
            <w:b/>
            <w:bCs/>
          </w:rPr>
          <w:fldChar w:fldCharType="begin"/>
        </w:r>
        <w:r w:rsidRPr="001B53A1">
          <w:rPr>
            <w:b/>
            <w:bCs/>
          </w:rPr>
          <w:instrText xml:space="preserve"> PAGE   \* MERGEFORMAT </w:instrText>
        </w:r>
        <w:r w:rsidRPr="001B53A1">
          <w:rPr>
            <w:b/>
            <w:bCs/>
          </w:rPr>
          <w:fldChar w:fldCharType="separate"/>
        </w:r>
        <w:r w:rsidRPr="001B53A1">
          <w:rPr>
            <w:b/>
            <w:bCs/>
            <w:noProof/>
          </w:rPr>
          <w:t>2</w:t>
        </w:r>
        <w:r w:rsidRPr="001B53A1">
          <w:rPr>
            <w:b/>
            <w:bCs/>
            <w:noProof/>
          </w:rPr>
          <w:fldChar w:fldCharType="end"/>
        </w:r>
      </w:p>
    </w:sdtContent>
  </w:sdt>
  <w:p w14:paraId="72579E5D" w14:textId="77777777" w:rsidR="001B53A1" w:rsidRDefault="001B53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CE06D" w14:textId="77777777" w:rsidR="00845DF2" w:rsidRDefault="00845DF2" w:rsidP="00CD72DE">
      <w:pPr>
        <w:spacing w:after="0" w:line="240" w:lineRule="auto"/>
      </w:pPr>
      <w:r>
        <w:separator/>
      </w:r>
    </w:p>
  </w:footnote>
  <w:footnote w:type="continuationSeparator" w:id="0">
    <w:p w14:paraId="0D4FE04D" w14:textId="77777777" w:rsidR="00845DF2" w:rsidRDefault="00845DF2" w:rsidP="00CD72DE">
      <w:pPr>
        <w:spacing w:after="0" w:line="240" w:lineRule="auto"/>
      </w:pPr>
      <w:r>
        <w:continuationSeparator/>
      </w:r>
    </w:p>
  </w:footnote>
  <w:footnote w:type="continuationNotice" w:id="1">
    <w:p w14:paraId="18DD2D45" w14:textId="77777777" w:rsidR="00845DF2" w:rsidRDefault="00845D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26574" w14:textId="3F08B6E9" w:rsidR="001B53A1" w:rsidRPr="001B53A1" w:rsidRDefault="003D1FEE" w:rsidP="001B53A1">
    <w:pPr>
      <w:pStyle w:val="Header"/>
      <w:pBdr>
        <w:bottom w:val="single" w:sz="6" w:space="1" w:color="auto"/>
      </w:pBdr>
      <w:rPr>
        <w:b/>
        <w:bCs/>
      </w:rPr>
    </w:pPr>
    <w:r>
      <w:rPr>
        <w:b/>
        <w:bCs/>
      </w:rPr>
      <w:t xml:space="preserve">MANUSCRIPT </w:t>
    </w:r>
    <w:r w:rsidR="00F54B6A">
      <w:rPr>
        <w:b/>
        <w:bCs/>
      </w:rPr>
      <w:t>SUPPLEMENTARY FILES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D0A4A"/>
    <w:multiLevelType w:val="hybridMultilevel"/>
    <w:tmpl w:val="F89633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A3535CD"/>
    <w:multiLevelType w:val="hybridMultilevel"/>
    <w:tmpl w:val="A5C05A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03021D"/>
    <w:multiLevelType w:val="hybridMultilevel"/>
    <w:tmpl w:val="D4A43BB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C063CD"/>
    <w:multiLevelType w:val="hybridMultilevel"/>
    <w:tmpl w:val="EBBE77AC"/>
    <w:lvl w:ilvl="0" w:tplc="8E5AB47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484C78"/>
    <w:multiLevelType w:val="hybridMultilevel"/>
    <w:tmpl w:val="ADCC086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BD712F0"/>
    <w:multiLevelType w:val="hybridMultilevel"/>
    <w:tmpl w:val="4A4A7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F60236"/>
    <w:multiLevelType w:val="hybridMultilevel"/>
    <w:tmpl w:val="F1087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FD71DC"/>
    <w:multiLevelType w:val="hybridMultilevel"/>
    <w:tmpl w:val="A0AC816E"/>
    <w:lvl w:ilvl="0" w:tplc="85CC49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C973B4"/>
    <w:multiLevelType w:val="hybridMultilevel"/>
    <w:tmpl w:val="EAB6CDF0"/>
    <w:lvl w:ilvl="0" w:tplc="4D5064A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7A612E8"/>
    <w:multiLevelType w:val="hybridMultilevel"/>
    <w:tmpl w:val="130AB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BF45F7"/>
    <w:multiLevelType w:val="hybridMultilevel"/>
    <w:tmpl w:val="78803C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ED37AD"/>
    <w:multiLevelType w:val="hybridMultilevel"/>
    <w:tmpl w:val="680E59A8"/>
    <w:lvl w:ilvl="0" w:tplc="F38AA886">
      <w:start w:val="1"/>
      <w:numFmt w:val="bullet"/>
      <w:lvlText w:val="o"/>
      <w:lvlJc w:val="left"/>
      <w:pPr>
        <w:ind w:left="720" w:hanging="360"/>
      </w:pPr>
      <w:rPr>
        <w:rFonts w:ascii="Courier New" w:hAnsi="Courier New" w:hint="default"/>
      </w:rPr>
    </w:lvl>
    <w:lvl w:ilvl="1" w:tplc="CBAE5396">
      <w:start w:val="1"/>
      <w:numFmt w:val="bullet"/>
      <w:lvlText w:val="o"/>
      <w:lvlJc w:val="left"/>
      <w:pPr>
        <w:ind w:left="1440" w:hanging="360"/>
      </w:pPr>
      <w:rPr>
        <w:rFonts w:ascii="Courier New" w:hAnsi="Courier New" w:hint="default"/>
      </w:rPr>
    </w:lvl>
    <w:lvl w:ilvl="2" w:tplc="2F342B2C">
      <w:start w:val="1"/>
      <w:numFmt w:val="bullet"/>
      <w:lvlText w:val=""/>
      <w:lvlJc w:val="left"/>
      <w:pPr>
        <w:ind w:left="2160" w:hanging="360"/>
      </w:pPr>
      <w:rPr>
        <w:rFonts w:ascii="Wingdings" w:hAnsi="Wingdings" w:hint="default"/>
      </w:rPr>
    </w:lvl>
    <w:lvl w:ilvl="3" w:tplc="95BCD396">
      <w:start w:val="1"/>
      <w:numFmt w:val="bullet"/>
      <w:lvlText w:val=""/>
      <w:lvlJc w:val="left"/>
      <w:pPr>
        <w:ind w:left="2880" w:hanging="360"/>
      </w:pPr>
      <w:rPr>
        <w:rFonts w:ascii="Symbol" w:hAnsi="Symbol" w:hint="default"/>
      </w:rPr>
    </w:lvl>
    <w:lvl w:ilvl="4" w:tplc="A0E05882">
      <w:start w:val="1"/>
      <w:numFmt w:val="bullet"/>
      <w:lvlText w:val="o"/>
      <w:lvlJc w:val="left"/>
      <w:pPr>
        <w:ind w:left="3600" w:hanging="360"/>
      </w:pPr>
      <w:rPr>
        <w:rFonts w:ascii="Courier New" w:hAnsi="Courier New" w:hint="default"/>
      </w:rPr>
    </w:lvl>
    <w:lvl w:ilvl="5" w:tplc="CE760406">
      <w:start w:val="1"/>
      <w:numFmt w:val="bullet"/>
      <w:lvlText w:val=""/>
      <w:lvlJc w:val="left"/>
      <w:pPr>
        <w:ind w:left="4320" w:hanging="360"/>
      </w:pPr>
      <w:rPr>
        <w:rFonts w:ascii="Wingdings" w:hAnsi="Wingdings" w:hint="default"/>
      </w:rPr>
    </w:lvl>
    <w:lvl w:ilvl="6" w:tplc="A858B436">
      <w:start w:val="1"/>
      <w:numFmt w:val="bullet"/>
      <w:lvlText w:val=""/>
      <w:lvlJc w:val="left"/>
      <w:pPr>
        <w:ind w:left="5040" w:hanging="360"/>
      </w:pPr>
      <w:rPr>
        <w:rFonts w:ascii="Symbol" w:hAnsi="Symbol" w:hint="default"/>
      </w:rPr>
    </w:lvl>
    <w:lvl w:ilvl="7" w:tplc="E8E6839C">
      <w:start w:val="1"/>
      <w:numFmt w:val="bullet"/>
      <w:lvlText w:val="o"/>
      <w:lvlJc w:val="left"/>
      <w:pPr>
        <w:ind w:left="5760" w:hanging="360"/>
      </w:pPr>
      <w:rPr>
        <w:rFonts w:ascii="Courier New" w:hAnsi="Courier New" w:hint="default"/>
      </w:rPr>
    </w:lvl>
    <w:lvl w:ilvl="8" w:tplc="6E2E639E">
      <w:start w:val="1"/>
      <w:numFmt w:val="bullet"/>
      <w:lvlText w:val=""/>
      <w:lvlJc w:val="left"/>
      <w:pPr>
        <w:ind w:left="6480" w:hanging="360"/>
      </w:pPr>
      <w:rPr>
        <w:rFonts w:ascii="Wingdings" w:hAnsi="Wingdings" w:hint="default"/>
      </w:rPr>
    </w:lvl>
  </w:abstractNum>
  <w:abstractNum w:abstractNumId="12" w15:restartNumberingAfterBreak="0">
    <w:nsid w:val="4CD1221B"/>
    <w:multiLevelType w:val="hybridMultilevel"/>
    <w:tmpl w:val="62167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D66DC0"/>
    <w:multiLevelType w:val="hybridMultilevel"/>
    <w:tmpl w:val="6E6CADD8"/>
    <w:lvl w:ilvl="0" w:tplc="FFFFFFFF">
      <w:start w:val="1"/>
      <w:numFmt w:val="bullet"/>
      <w:lvlText w:val=""/>
      <w:lvlJc w:val="left"/>
      <w:pPr>
        <w:ind w:left="720" w:hanging="360"/>
      </w:pPr>
      <w:rPr>
        <w:rFonts w:ascii="Symbol" w:hAnsi="Symbol" w:hint="default"/>
      </w:rPr>
    </w:lvl>
    <w:lvl w:ilvl="1" w:tplc="08090011">
      <w:start w:val="1"/>
      <w:numFmt w:val="decimal"/>
      <w:lvlText w:val="%2)"/>
      <w:lvlJc w:val="left"/>
      <w:pPr>
        <w:ind w:left="1440" w:hanging="360"/>
      </w:pPr>
      <w:rPr>
        <w:rFont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05B52E8"/>
    <w:multiLevelType w:val="hybridMultilevel"/>
    <w:tmpl w:val="C81C9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1473F30"/>
    <w:multiLevelType w:val="hybridMultilevel"/>
    <w:tmpl w:val="14100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533DC4"/>
    <w:multiLevelType w:val="hybridMultilevel"/>
    <w:tmpl w:val="AAE6E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304462"/>
    <w:multiLevelType w:val="hybridMultilevel"/>
    <w:tmpl w:val="F6DE671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20153617">
    <w:abstractNumId w:val="11"/>
  </w:num>
  <w:num w:numId="2" w16cid:durableId="725446371">
    <w:abstractNumId w:val="10"/>
  </w:num>
  <w:num w:numId="3" w16cid:durableId="1757746515">
    <w:abstractNumId w:val="2"/>
  </w:num>
  <w:num w:numId="4" w16cid:durableId="160463619">
    <w:abstractNumId w:val="13"/>
  </w:num>
  <w:num w:numId="5" w16cid:durableId="2051806637">
    <w:abstractNumId w:val="14"/>
  </w:num>
  <w:num w:numId="6" w16cid:durableId="1710718906">
    <w:abstractNumId w:val="5"/>
  </w:num>
  <w:num w:numId="7" w16cid:durableId="869486662">
    <w:abstractNumId w:val="1"/>
  </w:num>
  <w:num w:numId="8" w16cid:durableId="1558734965">
    <w:abstractNumId w:val="3"/>
  </w:num>
  <w:num w:numId="9" w16cid:durableId="105538387">
    <w:abstractNumId w:val="7"/>
  </w:num>
  <w:num w:numId="10" w16cid:durableId="1991708509">
    <w:abstractNumId w:val="12"/>
  </w:num>
  <w:num w:numId="11" w16cid:durableId="517353163">
    <w:abstractNumId w:val="16"/>
  </w:num>
  <w:num w:numId="12" w16cid:durableId="1528059514">
    <w:abstractNumId w:val="15"/>
  </w:num>
  <w:num w:numId="13" w16cid:durableId="688605633">
    <w:abstractNumId w:val="0"/>
  </w:num>
  <w:num w:numId="14" w16cid:durableId="772554638">
    <w:abstractNumId w:val="4"/>
  </w:num>
  <w:num w:numId="15" w16cid:durableId="813792061">
    <w:abstractNumId w:val="8"/>
  </w:num>
  <w:num w:numId="16" w16cid:durableId="1010722198">
    <w:abstractNumId w:val="17"/>
  </w:num>
  <w:num w:numId="17" w16cid:durableId="720204720">
    <w:abstractNumId w:val="9"/>
  </w:num>
  <w:num w:numId="18" w16cid:durableId="17572908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U0MTc3MzYzMzc2MTVV0lEKTi0uzszPAykwrQUA56ZlRywAAAA="/>
    <w:docVar w:name="EN.InstantFormat" w:val="&lt;ENInstantFormat&gt;&lt;Enabled&gt;0&lt;/Enabled&gt;&lt;ScanUnformatted&gt;1&lt;/ScanUnformatted&gt;&lt;ScanChanges&gt;1&lt;/ScanChanges&gt;&lt;Suspended&gt;0&lt;/Suspended&gt;&lt;/ENInstantFormat&gt;"/>
    <w:docVar w:name="EN.Layout" w:val="&lt;ENLayout&gt;&lt;Style&gt;Vancouver [ ]&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rst9wtabrazd7ezevkxtxzvtv59x9xwzdxs&quot;&gt;TxEM manuscript&lt;record-ids&gt;&lt;item&gt;6&lt;/item&gt;&lt;item&gt;21&lt;/item&gt;&lt;item&gt;22&lt;/item&gt;&lt;item&gt;23&lt;/item&gt;&lt;item&gt;24&lt;/item&gt;&lt;item&gt;25&lt;/item&gt;&lt;item&gt;26&lt;/item&gt;&lt;item&gt;27&lt;/item&gt;&lt;item&gt;28&lt;/item&gt;&lt;item&gt;29&lt;/item&gt;&lt;item&gt;30&lt;/item&gt;&lt;item&gt;31&lt;/item&gt;&lt;item&gt;79&lt;/item&gt;&lt;item&gt;80&lt;/item&gt;&lt;item&gt;81&lt;/item&gt;&lt;item&gt;82&lt;/item&gt;&lt;item&gt;83&lt;/item&gt;&lt;/record-ids&gt;&lt;/item&gt;&lt;/Libraries&gt;"/>
  </w:docVars>
  <w:rsids>
    <w:rsidRoot w:val="00926DDD"/>
    <w:rsid w:val="00001D03"/>
    <w:rsid w:val="00003718"/>
    <w:rsid w:val="00005D12"/>
    <w:rsid w:val="0000791F"/>
    <w:rsid w:val="0001171F"/>
    <w:rsid w:val="00011DAF"/>
    <w:rsid w:val="00013023"/>
    <w:rsid w:val="000132D2"/>
    <w:rsid w:val="0001499C"/>
    <w:rsid w:val="00015946"/>
    <w:rsid w:val="00017773"/>
    <w:rsid w:val="0001799A"/>
    <w:rsid w:val="000203AD"/>
    <w:rsid w:val="000211E9"/>
    <w:rsid w:val="000214AF"/>
    <w:rsid w:val="000224FB"/>
    <w:rsid w:val="00023180"/>
    <w:rsid w:val="000236B5"/>
    <w:rsid w:val="00024075"/>
    <w:rsid w:val="0002560E"/>
    <w:rsid w:val="00025E9A"/>
    <w:rsid w:val="00027704"/>
    <w:rsid w:val="00030217"/>
    <w:rsid w:val="000308F8"/>
    <w:rsid w:val="000309C8"/>
    <w:rsid w:val="00030B4F"/>
    <w:rsid w:val="00031D4F"/>
    <w:rsid w:val="00032448"/>
    <w:rsid w:val="000328FF"/>
    <w:rsid w:val="00033B55"/>
    <w:rsid w:val="00033CCC"/>
    <w:rsid w:val="00035131"/>
    <w:rsid w:val="00035286"/>
    <w:rsid w:val="00035B86"/>
    <w:rsid w:val="00041326"/>
    <w:rsid w:val="00041CE0"/>
    <w:rsid w:val="000425BB"/>
    <w:rsid w:val="0004322C"/>
    <w:rsid w:val="00044B31"/>
    <w:rsid w:val="00045591"/>
    <w:rsid w:val="000457D9"/>
    <w:rsid w:val="00045CC1"/>
    <w:rsid w:val="0004659D"/>
    <w:rsid w:val="00047104"/>
    <w:rsid w:val="000479F8"/>
    <w:rsid w:val="00050508"/>
    <w:rsid w:val="00050F86"/>
    <w:rsid w:val="000520C9"/>
    <w:rsid w:val="000527FC"/>
    <w:rsid w:val="000527FD"/>
    <w:rsid w:val="00052AC9"/>
    <w:rsid w:val="000552AB"/>
    <w:rsid w:val="00056EB5"/>
    <w:rsid w:val="000573AE"/>
    <w:rsid w:val="0005780D"/>
    <w:rsid w:val="0005784A"/>
    <w:rsid w:val="00057B4E"/>
    <w:rsid w:val="00057B7A"/>
    <w:rsid w:val="00060E7A"/>
    <w:rsid w:val="00061F03"/>
    <w:rsid w:val="00062EE0"/>
    <w:rsid w:val="0006367C"/>
    <w:rsid w:val="000637D9"/>
    <w:rsid w:val="0006388E"/>
    <w:rsid w:val="0006492F"/>
    <w:rsid w:val="00064CCD"/>
    <w:rsid w:val="00066659"/>
    <w:rsid w:val="000703EB"/>
    <w:rsid w:val="0007097D"/>
    <w:rsid w:val="00070FE4"/>
    <w:rsid w:val="00071ADA"/>
    <w:rsid w:val="00072256"/>
    <w:rsid w:val="000726B3"/>
    <w:rsid w:val="000730D1"/>
    <w:rsid w:val="00073870"/>
    <w:rsid w:val="00076274"/>
    <w:rsid w:val="00076517"/>
    <w:rsid w:val="0007714D"/>
    <w:rsid w:val="00077E59"/>
    <w:rsid w:val="00080701"/>
    <w:rsid w:val="0008071A"/>
    <w:rsid w:val="000809D0"/>
    <w:rsid w:val="00080DB4"/>
    <w:rsid w:val="000823F4"/>
    <w:rsid w:val="00082E58"/>
    <w:rsid w:val="000854F2"/>
    <w:rsid w:val="00086409"/>
    <w:rsid w:val="00087013"/>
    <w:rsid w:val="00090D77"/>
    <w:rsid w:val="00091896"/>
    <w:rsid w:val="0009271F"/>
    <w:rsid w:val="00092DDA"/>
    <w:rsid w:val="00092ED4"/>
    <w:rsid w:val="00094862"/>
    <w:rsid w:val="00094B5E"/>
    <w:rsid w:val="00094EDB"/>
    <w:rsid w:val="0009532F"/>
    <w:rsid w:val="000964BF"/>
    <w:rsid w:val="00096BB5"/>
    <w:rsid w:val="00097F0A"/>
    <w:rsid w:val="000A3218"/>
    <w:rsid w:val="000A3678"/>
    <w:rsid w:val="000A3782"/>
    <w:rsid w:val="000A4A63"/>
    <w:rsid w:val="000A4C36"/>
    <w:rsid w:val="000A65DA"/>
    <w:rsid w:val="000A7099"/>
    <w:rsid w:val="000B22DA"/>
    <w:rsid w:val="000B2474"/>
    <w:rsid w:val="000B290E"/>
    <w:rsid w:val="000B2996"/>
    <w:rsid w:val="000B2F08"/>
    <w:rsid w:val="000B51F3"/>
    <w:rsid w:val="000B5DBD"/>
    <w:rsid w:val="000B5E1E"/>
    <w:rsid w:val="000B79F0"/>
    <w:rsid w:val="000C150C"/>
    <w:rsid w:val="000C15F7"/>
    <w:rsid w:val="000C27AE"/>
    <w:rsid w:val="000C3253"/>
    <w:rsid w:val="000C4A22"/>
    <w:rsid w:val="000C4D67"/>
    <w:rsid w:val="000C510F"/>
    <w:rsid w:val="000C5911"/>
    <w:rsid w:val="000C5BBF"/>
    <w:rsid w:val="000C70DD"/>
    <w:rsid w:val="000D1E9F"/>
    <w:rsid w:val="000D1F68"/>
    <w:rsid w:val="000D50C9"/>
    <w:rsid w:val="000D562B"/>
    <w:rsid w:val="000D5737"/>
    <w:rsid w:val="000D5967"/>
    <w:rsid w:val="000D6F7A"/>
    <w:rsid w:val="000E0127"/>
    <w:rsid w:val="000E0D72"/>
    <w:rsid w:val="000E0E44"/>
    <w:rsid w:val="000E0F4F"/>
    <w:rsid w:val="000E1508"/>
    <w:rsid w:val="000E3F5F"/>
    <w:rsid w:val="000E3F91"/>
    <w:rsid w:val="000E4019"/>
    <w:rsid w:val="000E44FC"/>
    <w:rsid w:val="000E4BF3"/>
    <w:rsid w:val="000E5731"/>
    <w:rsid w:val="000E69E7"/>
    <w:rsid w:val="000E782D"/>
    <w:rsid w:val="000F10A1"/>
    <w:rsid w:val="000F3538"/>
    <w:rsid w:val="000F4AE6"/>
    <w:rsid w:val="000F4F7B"/>
    <w:rsid w:val="000F52FF"/>
    <w:rsid w:val="000F586D"/>
    <w:rsid w:val="000F6424"/>
    <w:rsid w:val="000F7A28"/>
    <w:rsid w:val="00100F29"/>
    <w:rsid w:val="00101738"/>
    <w:rsid w:val="00101930"/>
    <w:rsid w:val="00101D9F"/>
    <w:rsid w:val="00103269"/>
    <w:rsid w:val="00103CFF"/>
    <w:rsid w:val="001048D4"/>
    <w:rsid w:val="0010671B"/>
    <w:rsid w:val="00106C73"/>
    <w:rsid w:val="00106F30"/>
    <w:rsid w:val="0010775F"/>
    <w:rsid w:val="00107D10"/>
    <w:rsid w:val="0011003A"/>
    <w:rsid w:val="0011198E"/>
    <w:rsid w:val="00111AF9"/>
    <w:rsid w:val="00111DCD"/>
    <w:rsid w:val="00111E63"/>
    <w:rsid w:val="001121AF"/>
    <w:rsid w:val="00112FE2"/>
    <w:rsid w:val="001131D2"/>
    <w:rsid w:val="00113B94"/>
    <w:rsid w:val="00114569"/>
    <w:rsid w:val="00115E0A"/>
    <w:rsid w:val="0011786D"/>
    <w:rsid w:val="00117DD8"/>
    <w:rsid w:val="00120D2D"/>
    <w:rsid w:val="001214E8"/>
    <w:rsid w:val="00122472"/>
    <w:rsid w:val="0012348A"/>
    <w:rsid w:val="001248B1"/>
    <w:rsid w:val="001249BE"/>
    <w:rsid w:val="00124C6D"/>
    <w:rsid w:val="001252D6"/>
    <w:rsid w:val="00126E7C"/>
    <w:rsid w:val="00130C11"/>
    <w:rsid w:val="00131161"/>
    <w:rsid w:val="00132750"/>
    <w:rsid w:val="00132E2F"/>
    <w:rsid w:val="00133A12"/>
    <w:rsid w:val="001349E3"/>
    <w:rsid w:val="00134E1A"/>
    <w:rsid w:val="0013554D"/>
    <w:rsid w:val="0013749E"/>
    <w:rsid w:val="0014090E"/>
    <w:rsid w:val="00140AEB"/>
    <w:rsid w:val="00141F98"/>
    <w:rsid w:val="001422D9"/>
    <w:rsid w:val="00142557"/>
    <w:rsid w:val="00143D8B"/>
    <w:rsid w:val="00144CE6"/>
    <w:rsid w:val="00145768"/>
    <w:rsid w:val="00145BDA"/>
    <w:rsid w:val="00150E21"/>
    <w:rsid w:val="00151095"/>
    <w:rsid w:val="001524AE"/>
    <w:rsid w:val="00152A49"/>
    <w:rsid w:val="0015376C"/>
    <w:rsid w:val="00153940"/>
    <w:rsid w:val="00154479"/>
    <w:rsid w:val="00154E62"/>
    <w:rsid w:val="001562E6"/>
    <w:rsid w:val="00157598"/>
    <w:rsid w:val="00157ECC"/>
    <w:rsid w:val="00162697"/>
    <w:rsid w:val="00162780"/>
    <w:rsid w:val="00163D32"/>
    <w:rsid w:val="00165786"/>
    <w:rsid w:val="00165B0A"/>
    <w:rsid w:val="00165D6C"/>
    <w:rsid w:val="00165E42"/>
    <w:rsid w:val="001660ED"/>
    <w:rsid w:val="001674FD"/>
    <w:rsid w:val="0017034F"/>
    <w:rsid w:val="00171031"/>
    <w:rsid w:val="00172F21"/>
    <w:rsid w:val="0017379F"/>
    <w:rsid w:val="001747CF"/>
    <w:rsid w:val="00175BB3"/>
    <w:rsid w:val="00175EFE"/>
    <w:rsid w:val="001762A3"/>
    <w:rsid w:val="00176833"/>
    <w:rsid w:val="00176FA4"/>
    <w:rsid w:val="00177AB6"/>
    <w:rsid w:val="00180F58"/>
    <w:rsid w:val="00182C83"/>
    <w:rsid w:val="0018556F"/>
    <w:rsid w:val="0019108D"/>
    <w:rsid w:val="001917FB"/>
    <w:rsid w:val="001920B5"/>
    <w:rsid w:val="001922F7"/>
    <w:rsid w:val="00192A78"/>
    <w:rsid w:val="00192BAA"/>
    <w:rsid w:val="00193148"/>
    <w:rsid w:val="00193FEF"/>
    <w:rsid w:val="00194627"/>
    <w:rsid w:val="0019558C"/>
    <w:rsid w:val="00196A12"/>
    <w:rsid w:val="0019710C"/>
    <w:rsid w:val="001A1005"/>
    <w:rsid w:val="001A10FD"/>
    <w:rsid w:val="001A11D9"/>
    <w:rsid w:val="001A16FD"/>
    <w:rsid w:val="001A172B"/>
    <w:rsid w:val="001A2299"/>
    <w:rsid w:val="001A371C"/>
    <w:rsid w:val="001A48CB"/>
    <w:rsid w:val="001A5358"/>
    <w:rsid w:val="001A58CB"/>
    <w:rsid w:val="001A5F5D"/>
    <w:rsid w:val="001A6582"/>
    <w:rsid w:val="001A70D4"/>
    <w:rsid w:val="001A79E2"/>
    <w:rsid w:val="001B330C"/>
    <w:rsid w:val="001B3AB0"/>
    <w:rsid w:val="001B53A1"/>
    <w:rsid w:val="001B70EA"/>
    <w:rsid w:val="001B7859"/>
    <w:rsid w:val="001C0119"/>
    <w:rsid w:val="001C098C"/>
    <w:rsid w:val="001C1140"/>
    <w:rsid w:val="001C2C60"/>
    <w:rsid w:val="001C2DE1"/>
    <w:rsid w:val="001C3199"/>
    <w:rsid w:val="001C4578"/>
    <w:rsid w:val="001C5BC7"/>
    <w:rsid w:val="001C6B72"/>
    <w:rsid w:val="001C7E8E"/>
    <w:rsid w:val="001D0623"/>
    <w:rsid w:val="001D2FED"/>
    <w:rsid w:val="001D4331"/>
    <w:rsid w:val="001D63B2"/>
    <w:rsid w:val="001D6C65"/>
    <w:rsid w:val="001E0946"/>
    <w:rsid w:val="001E321E"/>
    <w:rsid w:val="001E3BF6"/>
    <w:rsid w:val="001E3E6C"/>
    <w:rsid w:val="001E47A5"/>
    <w:rsid w:val="001E63BF"/>
    <w:rsid w:val="001E64F0"/>
    <w:rsid w:val="001E71DA"/>
    <w:rsid w:val="001F026A"/>
    <w:rsid w:val="001F0924"/>
    <w:rsid w:val="001F2923"/>
    <w:rsid w:val="001F3A94"/>
    <w:rsid w:val="001F54E5"/>
    <w:rsid w:val="001F76DF"/>
    <w:rsid w:val="001F7D9A"/>
    <w:rsid w:val="00200872"/>
    <w:rsid w:val="00201AA3"/>
    <w:rsid w:val="00202213"/>
    <w:rsid w:val="00202BC5"/>
    <w:rsid w:val="0020312D"/>
    <w:rsid w:val="002057E6"/>
    <w:rsid w:val="00205CD6"/>
    <w:rsid w:val="00210B6E"/>
    <w:rsid w:val="00210C71"/>
    <w:rsid w:val="002110FA"/>
    <w:rsid w:val="0021222C"/>
    <w:rsid w:val="00212CFE"/>
    <w:rsid w:val="00214006"/>
    <w:rsid w:val="0021456A"/>
    <w:rsid w:val="0021677E"/>
    <w:rsid w:val="00216EC0"/>
    <w:rsid w:val="002208A2"/>
    <w:rsid w:val="0022136B"/>
    <w:rsid w:val="002233D7"/>
    <w:rsid w:val="00223408"/>
    <w:rsid w:val="002244C1"/>
    <w:rsid w:val="00226B3F"/>
    <w:rsid w:val="00226FC0"/>
    <w:rsid w:val="00227656"/>
    <w:rsid w:val="00227A47"/>
    <w:rsid w:val="00227C9D"/>
    <w:rsid w:val="0023030E"/>
    <w:rsid w:val="00231330"/>
    <w:rsid w:val="00231733"/>
    <w:rsid w:val="002319E5"/>
    <w:rsid w:val="00233063"/>
    <w:rsid w:val="00234264"/>
    <w:rsid w:val="0023460F"/>
    <w:rsid w:val="00234BE2"/>
    <w:rsid w:val="00235714"/>
    <w:rsid w:val="00237FEA"/>
    <w:rsid w:val="002405C0"/>
    <w:rsid w:val="002408AC"/>
    <w:rsid w:val="00241D91"/>
    <w:rsid w:val="0024338F"/>
    <w:rsid w:val="0024478C"/>
    <w:rsid w:val="00244AFB"/>
    <w:rsid w:val="0024538F"/>
    <w:rsid w:val="00246676"/>
    <w:rsid w:val="00247C10"/>
    <w:rsid w:val="002504C4"/>
    <w:rsid w:val="0025093A"/>
    <w:rsid w:val="0025225F"/>
    <w:rsid w:val="0025298A"/>
    <w:rsid w:val="00252AF7"/>
    <w:rsid w:val="002552FD"/>
    <w:rsid w:val="00257CC4"/>
    <w:rsid w:val="00257DCA"/>
    <w:rsid w:val="00260047"/>
    <w:rsid w:val="002604FA"/>
    <w:rsid w:val="00260C1E"/>
    <w:rsid w:val="0026118A"/>
    <w:rsid w:val="002612A8"/>
    <w:rsid w:val="00261946"/>
    <w:rsid w:val="00261D7F"/>
    <w:rsid w:val="002636E7"/>
    <w:rsid w:val="00263981"/>
    <w:rsid w:val="00263A9A"/>
    <w:rsid w:val="00263B85"/>
    <w:rsid w:val="00263F1D"/>
    <w:rsid w:val="00264887"/>
    <w:rsid w:val="00264DA1"/>
    <w:rsid w:val="00267EA2"/>
    <w:rsid w:val="00272333"/>
    <w:rsid w:val="0027360C"/>
    <w:rsid w:val="002741B0"/>
    <w:rsid w:val="002758DA"/>
    <w:rsid w:val="00277028"/>
    <w:rsid w:val="002775FF"/>
    <w:rsid w:val="00277645"/>
    <w:rsid w:val="00277AAE"/>
    <w:rsid w:val="002805B0"/>
    <w:rsid w:val="002808B0"/>
    <w:rsid w:val="00280D8B"/>
    <w:rsid w:val="00282244"/>
    <w:rsid w:val="00283136"/>
    <w:rsid w:val="00283B3D"/>
    <w:rsid w:val="002857D7"/>
    <w:rsid w:val="00285801"/>
    <w:rsid w:val="00285C3A"/>
    <w:rsid w:val="00287863"/>
    <w:rsid w:val="00290554"/>
    <w:rsid w:val="00290638"/>
    <w:rsid w:val="00291F1A"/>
    <w:rsid w:val="002929C6"/>
    <w:rsid w:val="002933E1"/>
    <w:rsid w:val="00294403"/>
    <w:rsid w:val="0029444A"/>
    <w:rsid w:val="002961B3"/>
    <w:rsid w:val="00296896"/>
    <w:rsid w:val="00297081"/>
    <w:rsid w:val="0029784F"/>
    <w:rsid w:val="002A03A7"/>
    <w:rsid w:val="002A0A95"/>
    <w:rsid w:val="002A0D1B"/>
    <w:rsid w:val="002A12B5"/>
    <w:rsid w:val="002A1C2F"/>
    <w:rsid w:val="002A213A"/>
    <w:rsid w:val="002A336B"/>
    <w:rsid w:val="002A396F"/>
    <w:rsid w:val="002A3AEB"/>
    <w:rsid w:val="002A3BEE"/>
    <w:rsid w:val="002A4668"/>
    <w:rsid w:val="002A4B84"/>
    <w:rsid w:val="002A5077"/>
    <w:rsid w:val="002A67D3"/>
    <w:rsid w:val="002A697C"/>
    <w:rsid w:val="002A6D5A"/>
    <w:rsid w:val="002A74A0"/>
    <w:rsid w:val="002A7A21"/>
    <w:rsid w:val="002A7F2A"/>
    <w:rsid w:val="002B01F7"/>
    <w:rsid w:val="002B0D10"/>
    <w:rsid w:val="002B1565"/>
    <w:rsid w:val="002B426C"/>
    <w:rsid w:val="002B53D0"/>
    <w:rsid w:val="002B6EBA"/>
    <w:rsid w:val="002C0392"/>
    <w:rsid w:val="002C174F"/>
    <w:rsid w:val="002C2D59"/>
    <w:rsid w:val="002C6BFB"/>
    <w:rsid w:val="002C76E5"/>
    <w:rsid w:val="002D1CD7"/>
    <w:rsid w:val="002D1F92"/>
    <w:rsid w:val="002D2081"/>
    <w:rsid w:val="002D358D"/>
    <w:rsid w:val="002D3FB0"/>
    <w:rsid w:val="002D416F"/>
    <w:rsid w:val="002D4332"/>
    <w:rsid w:val="002D44EF"/>
    <w:rsid w:val="002D4553"/>
    <w:rsid w:val="002D47C4"/>
    <w:rsid w:val="002D4E5E"/>
    <w:rsid w:val="002D508A"/>
    <w:rsid w:val="002D5AF6"/>
    <w:rsid w:val="002D720E"/>
    <w:rsid w:val="002D7E51"/>
    <w:rsid w:val="002D7EFC"/>
    <w:rsid w:val="002E046E"/>
    <w:rsid w:val="002E068E"/>
    <w:rsid w:val="002E0A09"/>
    <w:rsid w:val="002E0E03"/>
    <w:rsid w:val="002E1388"/>
    <w:rsid w:val="002E1480"/>
    <w:rsid w:val="002E378E"/>
    <w:rsid w:val="002E4C1D"/>
    <w:rsid w:val="002E5015"/>
    <w:rsid w:val="002E66C9"/>
    <w:rsid w:val="002E73E2"/>
    <w:rsid w:val="002F08FF"/>
    <w:rsid w:val="002F2AAD"/>
    <w:rsid w:val="002F3674"/>
    <w:rsid w:val="002F3A41"/>
    <w:rsid w:val="002F3C4F"/>
    <w:rsid w:val="002F5117"/>
    <w:rsid w:val="002F55DF"/>
    <w:rsid w:val="002F5D06"/>
    <w:rsid w:val="002F5F10"/>
    <w:rsid w:val="002F696F"/>
    <w:rsid w:val="002F7871"/>
    <w:rsid w:val="003005CF"/>
    <w:rsid w:val="00300714"/>
    <w:rsid w:val="003010A5"/>
    <w:rsid w:val="0030131F"/>
    <w:rsid w:val="003013CE"/>
    <w:rsid w:val="00301954"/>
    <w:rsid w:val="00301CDD"/>
    <w:rsid w:val="00302286"/>
    <w:rsid w:val="003035D5"/>
    <w:rsid w:val="00303D77"/>
    <w:rsid w:val="0031010C"/>
    <w:rsid w:val="003109FF"/>
    <w:rsid w:val="00310C4F"/>
    <w:rsid w:val="00310DFB"/>
    <w:rsid w:val="003113D2"/>
    <w:rsid w:val="003147FA"/>
    <w:rsid w:val="003149DE"/>
    <w:rsid w:val="00314D7D"/>
    <w:rsid w:val="00315F1C"/>
    <w:rsid w:val="00316EA0"/>
    <w:rsid w:val="00320BA5"/>
    <w:rsid w:val="00320C29"/>
    <w:rsid w:val="0032198A"/>
    <w:rsid w:val="003224A6"/>
    <w:rsid w:val="00323513"/>
    <w:rsid w:val="0032419F"/>
    <w:rsid w:val="0032473D"/>
    <w:rsid w:val="00325FBC"/>
    <w:rsid w:val="0032646F"/>
    <w:rsid w:val="00326EB7"/>
    <w:rsid w:val="00330F08"/>
    <w:rsid w:val="003319B6"/>
    <w:rsid w:val="00331E5F"/>
    <w:rsid w:val="00332E48"/>
    <w:rsid w:val="00333801"/>
    <w:rsid w:val="00334E8A"/>
    <w:rsid w:val="00336AA0"/>
    <w:rsid w:val="00346C1E"/>
    <w:rsid w:val="0034798F"/>
    <w:rsid w:val="00350117"/>
    <w:rsid w:val="0035085D"/>
    <w:rsid w:val="00351DFD"/>
    <w:rsid w:val="00352BD2"/>
    <w:rsid w:val="00352C25"/>
    <w:rsid w:val="00352C60"/>
    <w:rsid w:val="00354074"/>
    <w:rsid w:val="00355E62"/>
    <w:rsid w:val="00356997"/>
    <w:rsid w:val="00356F5D"/>
    <w:rsid w:val="00357476"/>
    <w:rsid w:val="003602EF"/>
    <w:rsid w:val="00361982"/>
    <w:rsid w:val="003635A5"/>
    <w:rsid w:val="0036470F"/>
    <w:rsid w:val="00365F54"/>
    <w:rsid w:val="00366122"/>
    <w:rsid w:val="00366E59"/>
    <w:rsid w:val="00366FAA"/>
    <w:rsid w:val="00373207"/>
    <w:rsid w:val="00373346"/>
    <w:rsid w:val="00373D4D"/>
    <w:rsid w:val="00374546"/>
    <w:rsid w:val="0037529A"/>
    <w:rsid w:val="003753FA"/>
    <w:rsid w:val="00376949"/>
    <w:rsid w:val="00376A78"/>
    <w:rsid w:val="003771EB"/>
    <w:rsid w:val="00380FFA"/>
    <w:rsid w:val="0038188C"/>
    <w:rsid w:val="003829DE"/>
    <w:rsid w:val="0038314B"/>
    <w:rsid w:val="003844AF"/>
    <w:rsid w:val="00385AC2"/>
    <w:rsid w:val="00385E0B"/>
    <w:rsid w:val="00386E94"/>
    <w:rsid w:val="0039075C"/>
    <w:rsid w:val="00392903"/>
    <w:rsid w:val="003934CB"/>
    <w:rsid w:val="00393955"/>
    <w:rsid w:val="00393E09"/>
    <w:rsid w:val="003951BF"/>
    <w:rsid w:val="003962D3"/>
    <w:rsid w:val="0039771A"/>
    <w:rsid w:val="003A07F8"/>
    <w:rsid w:val="003A2F69"/>
    <w:rsid w:val="003A3179"/>
    <w:rsid w:val="003A4697"/>
    <w:rsid w:val="003A6BBB"/>
    <w:rsid w:val="003A70B9"/>
    <w:rsid w:val="003B0500"/>
    <w:rsid w:val="003B0596"/>
    <w:rsid w:val="003B2359"/>
    <w:rsid w:val="003B25C6"/>
    <w:rsid w:val="003B2FF4"/>
    <w:rsid w:val="003B7E29"/>
    <w:rsid w:val="003C093C"/>
    <w:rsid w:val="003C12EC"/>
    <w:rsid w:val="003C1F39"/>
    <w:rsid w:val="003C1F7A"/>
    <w:rsid w:val="003C21D5"/>
    <w:rsid w:val="003C26C6"/>
    <w:rsid w:val="003C271A"/>
    <w:rsid w:val="003C45BB"/>
    <w:rsid w:val="003C5081"/>
    <w:rsid w:val="003C52A1"/>
    <w:rsid w:val="003C6B91"/>
    <w:rsid w:val="003C6E5C"/>
    <w:rsid w:val="003C7E0E"/>
    <w:rsid w:val="003D018A"/>
    <w:rsid w:val="003D0897"/>
    <w:rsid w:val="003D0978"/>
    <w:rsid w:val="003D1A4B"/>
    <w:rsid w:val="003D1FEE"/>
    <w:rsid w:val="003D2B51"/>
    <w:rsid w:val="003D2F94"/>
    <w:rsid w:val="003D3877"/>
    <w:rsid w:val="003D3A73"/>
    <w:rsid w:val="003D569F"/>
    <w:rsid w:val="003D6357"/>
    <w:rsid w:val="003D6615"/>
    <w:rsid w:val="003E01B8"/>
    <w:rsid w:val="003E0BDB"/>
    <w:rsid w:val="003E1317"/>
    <w:rsid w:val="003E20F6"/>
    <w:rsid w:val="003E27EC"/>
    <w:rsid w:val="003E2D5C"/>
    <w:rsid w:val="003E5C1E"/>
    <w:rsid w:val="003E63EA"/>
    <w:rsid w:val="003E7168"/>
    <w:rsid w:val="003E7422"/>
    <w:rsid w:val="003E77EA"/>
    <w:rsid w:val="003E7EFD"/>
    <w:rsid w:val="003E7F18"/>
    <w:rsid w:val="003E7FB0"/>
    <w:rsid w:val="003F0D58"/>
    <w:rsid w:val="003F0F05"/>
    <w:rsid w:val="003F2304"/>
    <w:rsid w:val="003F2906"/>
    <w:rsid w:val="003F298B"/>
    <w:rsid w:val="003F310E"/>
    <w:rsid w:val="003F37D4"/>
    <w:rsid w:val="003F38AF"/>
    <w:rsid w:val="003F4D01"/>
    <w:rsid w:val="003F5662"/>
    <w:rsid w:val="003F6456"/>
    <w:rsid w:val="003F6F29"/>
    <w:rsid w:val="003F72C1"/>
    <w:rsid w:val="003F7652"/>
    <w:rsid w:val="004015BB"/>
    <w:rsid w:val="00401C14"/>
    <w:rsid w:val="00401F56"/>
    <w:rsid w:val="00402670"/>
    <w:rsid w:val="00403184"/>
    <w:rsid w:val="004032A4"/>
    <w:rsid w:val="004034B4"/>
    <w:rsid w:val="004041BF"/>
    <w:rsid w:val="00404C22"/>
    <w:rsid w:val="00407AF4"/>
    <w:rsid w:val="00410024"/>
    <w:rsid w:val="004127C6"/>
    <w:rsid w:val="0041379D"/>
    <w:rsid w:val="004148A7"/>
    <w:rsid w:val="0042236C"/>
    <w:rsid w:val="00422736"/>
    <w:rsid w:val="00422A48"/>
    <w:rsid w:val="00422DB6"/>
    <w:rsid w:val="00423007"/>
    <w:rsid w:val="004249CE"/>
    <w:rsid w:val="004259E0"/>
    <w:rsid w:val="00425D41"/>
    <w:rsid w:val="00426D56"/>
    <w:rsid w:val="00427154"/>
    <w:rsid w:val="00427D18"/>
    <w:rsid w:val="00430565"/>
    <w:rsid w:val="0043134E"/>
    <w:rsid w:val="00432AF5"/>
    <w:rsid w:val="0043312A"/>
    <w:rsid w:val="00433BF8"/>
    <w:rsid w:val="004359C3"/>
    <w:rsid w:val="00436EAB"/>
    <w:rsid w:val="00437856"/>
    <w:rsid w:val="004379C3"/>
    <w:rsid w:val="0044080A"/>
    <w:rsid w:val="0044131B"/>
    <w:rsid w:val="004422D9"/>
    <w:rsid w:val="00442C35"/>
    <w:rsid w:val="00442D35"/>
    <w:rsid w:val="0044332F"/>
    <w:rsid w:val="00444E8F"/>
    <w:rsid w:val="004452CA"/>
    <w:rsid w:val="00446141"/>
    <w:rsid w:val="004466BE"/>
    <w:rsid w:val="00451EBE"/>
    <w:rsid w:val="0045228A"/>
    <w:rsid w:val="0045324B"/>
    <w:rsid w:val="00453CA6"/>
    <w:rsid w:val="00454204"/>
    <w:rsid w:val="00454873"/>
    <w:rsid w:val="00454B17"/>
    <w:rsid w:val="00454EC2"/>
    <w:rsid w:val="0045681F"/>
    <w:rsid w:val="00460D93"/>
    <w:rsid w:val="004614FB"/>
    <w:rsid w:val="00462269"/>
    <w:rsid w:val="00462D10"/>
    <w:rsid w:val="004637FE"/>
    <w:rsid w:val="004642CE"/>
    <w:rsid w:val="00464DE6"/>
    <w:rsid w:val="00467A17"/>
    <w:rsid w:val="0047018B"/>
    <w:rsid w:val="004709BD"/>
    <w:rsid w:val="0047360C"/>
    <w:rsid w:val="00474054"/>
    <w:rsid w:val="004759F0"/>
    <w:rsid w:val="00475E75"/>
    <w:rsid w:val="004768A9"/>
    <w:rsid w:val="004775B9"/>
    <w:rsid w:val="00480DA7"/>
    <w:rsid w:val="004811A1"/>
    <w:rsid w:val="00481748"/>
    <w:rsid w:val="00482413"/>
    <w:rsid w:val="004826C5"/>
    <w:rsid w:val="00482F70"/>
    <w:rsid w:val="004832FA"/>
    <w:rsid w:val="00483904"/>
    <w:rsid w:val="00484596"/>
    <w:rsid w:val="00485235"/>
    <w:rsid w:val="00485725"/>
    <w:rsid w:val="00486E31"/>
    <w:rsid w:val="0048719C"/>
    <w:rsid w:val="00487223"/>
    <w:rsid w:val="004877FE"/>
    <w:rsid w:val="00487A3D"/>
    <w:rsid w:val="00487B7C"/>
    <w:rsid w:val="00491B33"/>
    <w:rsid w:val="004920A0"/>
    <w:rsid w:val="004931FF"/>
    <w:rsid w:val="004936DD"/>
    <w:rsid w:val="004941DC"/>
    <w:rsid w:val="004941E6"/>
    <w:rsid w:val="00494E23"/>
    <w:rsid w:val="0049651E"/>
    <w:rsid w:val="0049716C"/>
    <w:rsid w:val="004A0271"/>
    <w:rsid w:val="004A05D0"/>
    <w:rsid w:val="004A0673"/>
    <w:rsid w:val="004A0B66"/>
    <w:rsid w:val="004A1AB9"/>
    <w:rsid w:val="004A1CBA"/>
    <w:rsid w:val="004A2B22"/>
    <w:rsid w:val="004A319D"/>
    <w:rsid w:val="004A3B64"/>
    <w:rsid w:val="004A5949"/>
    <w:rsid w:val="004A6951"/>
    <w:rsid w:val="004B009B"/>
    <w:rsid w:val="004B03B5"/>
    <w:rsid w:val="004B050C"/>
    <w:rsid w:val="004B4B20"/>
    <w:rsid w:val="004B5345"/>
    <w:rsid w:val="004B54EE"/>
    <w:rsid w:val="004B6657"/>
    <w:rsid w:val="004B66CF"/>
    <w:rsid w:val="004B7A97"/>
    <w:rsid w:val="004B7B2B"/>
    <w:rsid w:val="004C17AD"/>
    <w:rsid w:val="004C20C7"/>
    <w:rsid w:val="004C6AE4"/>
    <w:rsid w:val="004C7043"/>
    <w:rsid w:val="004D0200"/>
    <w:rsid w:val="004D0DA0"/>
    <w:rsid w:val="004D152B"/>
    <w:rsid w:val="004D2478"/>
    <w:rsid w:val="004D2532"/>
    <w:rsid w:val="004D2687"/>
    <w:rsid w:val="004D28AC"/>
    <w:rsid w:val="004D29D5"/>
    <w:rsid w:val="004D378D"/>
    <w:rsid w:val="004D3AB3"/>
    <w:rsid w:val="004D4BEA"/>
    <w:rsid w:val="004D5063"/>
    <w:rsid w:val="004D5C54"/>
    <w:rsid w:val="004D5CB2"/>
    <w:rsid w:val="004D6750"/>
    <w:rsid w:val="004D6CB8"/>
    <w:rsid w:val="004D77A1"/>
    <w:rsid w:val="004E0AB7"/>
    <w:rsid w:val="004E1286"/>
    <w:rsid w:val="004E3248"/>
    <w:rsid w:val="004E3760"/>
    <w:rsid w:val="004E44AD"/>
    <w:rsid w:val="004E45DC"/>
    <w:rsid w:val="004E7C1B"/>
    <w:rsid w:val="004F01E0"/>
    <w:rsid w:val="004F0346"/>
    <w:rsid w:val="004F0689"/>
    <w:rsid w:val="004F0D00"/>
    <w:rsid w:val="004F1A21"/>
    <w:rsid w:val="004F4C03"/>
    <w:rsid w:val="004F4EED"/>
    <w:rsid w:val="004F515A"/>
    <w:rsid w:val="004F583D"/>
    <w:rsid w:val="004F58BC"/>
    <w:rsid w:val="004F5AFB"/>
    <w:rsid w:val="004F67F2"/>
    <w:rsid w:val="004F7AB3"/>
    <w:rsid w:val="005004DD"/>
    <w:rsid w:val="00501808"/>
    <w:rsid w:val="00502DC7"/>
    <w:rsid w:val="005038F7"/>
    <w:rsid w:val="00503FDB"/>
    <w:rsid w:val="0050677F"/>
    <w:rsid w:val="005073D2"/>
    <w:rsid w:val="00507EC4"/>
    <w:rsid w:val="00510AC6"/>
    <w:rsid w:val="00513101"/>
    <w:rsid w:val="00514448"/>
    <w:rsid w:val="0051487E"/>
    <w:rsid w:val="0051593D"/>
    <w:rsid w:val="00516012"/>
    <w:rsid w:val="00516474"/>
    <w:rsid w:val="00516A68"/>
    <w:rsid w:val="00516E7F"/>
    <w:rsid w:val="00520585"/>
    <w:rsid w:val="005213C3"/>
    <w:rsid w:val="00521D92"/>
    <w:rsid w:val="00523859"/>
    <w:rsid w:val="005250AF"/>
    <w:rsid w:val="00531559"/>
    <w:rsid w:val="00531DF3"/>
    <w:rsid w:val="00534CC6"/>
    <w:rsid w:val="005414D9"/>
    <w:rsid w:val="005418DB"/>
    <w:rsid w:val="00541F41"/>
    <w:rsid w:val="005425D0"/>
    <w:rsid w:val="00542C9F"/>
    <w:rsid w:val="00543CE7"/>
    <w:rsid w:val="005442D8"/>
    <w:rsid w:val="005466A7"/>
    <w:rsid w:val="005469BB"/>
    <w:rsid w:val="00547343"/>
    <w:rsid w:val="005478CD"/>
    <w:rsid w:val="00547B7C"/>
    <w:rsid w:val="005500CD"/>
    <w:rsid w:val="00550969"/>
    <w:rsid w:val="00550B8C"/>
    <w:rsid w:val="00551B35"/>
    <w:rsid w:val="005537A6"/>
    <w:rsid w:val="00554321"/>
    <w:rsid w:val="005548B4"/>
    <w:rsid w:val="00554A0F"/>
    <w:rsid w:val="00555671"/>
    <w:rsid w:val="0055657A"/>
    <w:rsid w:val="00556CBB"/>
    <w:rsid w:val="00557735"/>
    <w:rsid w:val="00557B10"/>
    <w:rsid w:val="00557DC6"/>
    <w:rsid w:val="00557F69"/>
    <w:rsid w:val="00562439"/>
    <w:rsid w:val="0056278A"/>
    <w:rsid w:val="0056385A"/>
    <w:rsid w:val="00564B44"/>
    <w:rsid w:val="00566D43"/>
    <w:rsid w:val="00567B93"/>
    <w:rsid w:val="00567CBA"/>
    <w:rsid w:val="00567FF7"/>
    <w:rsid w:val="005706CB"/>
    <w:rsid w:val="00570A01"/>
    <w:rsid w:val="00570CFA"/>
    <w:rsid w:val="00572863"/>
    <w:rsid w:val="0057370C"/>
    <w:rsid w:val="005749C3"/>
    <w:rsid w:val="00576197"/>
    <w:rsid w:val="0058056C"/>
    <w:rsid w:val="00580AF7"/>
    <w:rsid w:val="00580FD2"/>
    <w:rsid w:val="00582EFA"/>
    <w:rsid w:val="00582F59"/>
    <w:rsid w:val="00583CF1"/>
    <w:rsid w:val="00584017"/>
    <w:rsid w:val="005857FE"/>
    <w:rsid w:val="005862C0"/>
    <w:rsid w:val="00586550"/>
    <w:rsid w:val="00587883"/>
    <w:rsid w:val="00591956"/>
    <w:rsid w:val="00591CD7"/>
    <w:rsid w:val="00593143"/>
    <w:rsid w:val="005937A7"/>
    <w:rsid w:val="00593F16"/>
    <w:rsid w:val="00594A20"/>
    <w:rsid w:val="005957C1"/>
    <w:rsid w:val="0059635F"/>
    <w:rsid w:val="00596CE6"/>
    <w:rsid w:val="00596FD0"/>
    <w:rsid w:val="00597462"/>
    <w:rsid w:val="005A0F94"/>
    <w:rsid w:val="005A12C7"/>
    <w:rsid w:val="005A133D"/>
    <w:rsid w:val="005A156C"/>
    <w:rsid w:val="005A2923"/>
    <w:rsid w:val="005A3380"/>
    <w:rsid w:val="005A3571"/>
    <w:rsid w:val="005A3902"/>
    <w:rsid w:val="005A3E76"/>
    <w:rsid w:val="005A416B"/>
    <w:rsid w:val="005A456C"/>
    <w:rsid w:val="005A4679"/>
    <w:rsid w:val="005A78C4"/>
    <w:rsid w:val="005A7E59"/>
    <w:rsid w:val="005B27A1"/>
    <w:rsid w:val="005B2F12"/>
    <w:rsid w:val="005B33D3"/>
    <w:rsid w:val="005B3741"/>
    <w:rsid w:val="005B4379"/>
    <w:rsid w:val="005B476C"/>
    <w:rsid w:val="005B4B2E"/>
    <w:rsid w:val="005B56F3"/>
    <w:rsid w:val="005B6348"/>
    <w:rsid w:val="005B6C0C"/>
    <w:rsid w:val="005C4449"/>
    <w:rsid w:val="005C4FCE"/>
    <w:rsid w:val="005C7138"/>
    <w:rsid w:val="005C77D8"/>
    <w:rsid w:val="005C79DD"/>
    <w:rsid w:val="005D0A62"/>
    <w:rsid w:val="005D0C74"/>
    <w:rsid w:val="005D1BAD"/>
    <w:rsid w:val="005D2E30"/>
    <w:rsid w:val="005D3636"/>
    <w:rsid w:val="005D3BDD"/>
    <w:rsid w:val="005D4886"/>
    <w:rsid w:val="005D4A80"/>
    <w:rsid w:val="005D51FB"/>
    <w:rsid w:val="005D58CA"/>
    <w:rsid w:val="005D5BD1"/>
    <w:rsid w:val="005D7C7E"/>
    <w:rsid w:val="005D7EE5"/>
    <w:rsid w:val="005E06D8"/>
    <w:rsid w:val="005E18E0"/>
    <w:rsid w:val="005E2102"/>
    <w:rsid w:val="005E27AB"/>
    <w:rsid w:val="005E2963"/>
    <w:rsid w:val="005E2FCB"/>
    <w:rsid w:val="005E3123"/>
    <w:rsid w:val="005E619A"/>
    <w:rsid w:val="005E640E"/>
    <w:rsid w:val="005E7D06"/>
    <w:rsid w:val="005F0AC5"/>
    <w:rsid w:val="005F13B1"/>
    <w:rsid w:val="005F344F"/>
    <w:rsid w:val="005F3F34"/>
    <w:rsid w:val="005F3F3A"/>
    <w:rsid w:val="005F4661"/>
    <w:rsid w:val="005F5850"/>
    <w:rsid w:val="005F5991"/>
    <w:rsid w:val="005F5F88"/>
    <w:rsid w:val="005F62FA"/>
    <w:rsid w:val="005F6EDC"/>
    <w:rsid w:val="005F7384"/>
    <w:rsid w:val="005F73D5"/>
    <w:rsid w:val="006013C2"/>
    <w:rsid w:val="00601787"/>
    <w:rsid w:val="00601985"/>
    <w:rsid w:val="006051F2"/>
    <w:rsid w:val="00606310"/>
    <w:rsid w:val="006063E4"/>
    <w:rsid w:val="00606EB7"/>
    <w:rsid w:val="00607090"/>
    <w:rsid w:val="00610A15"/>
    <w:rsid w:val="00612068"/>
    <w:rsid w:val="006122EA"/>
    <w:rsid w:val="0061356C"/>
    <w:rsid w:val="00614F7B"/>
    <w:rsid w:val="00615438"/>
    <w:rsid w:val="0061781B"/>
    <w:rsid w:val="0062101E"/>
    <w:rsid w:val="00622ACD"/>
    <w:rsid w:val="006240AB"/>
    <w:rsid w:val="00624187"/>
    <w:rsid w:val="00624858"/>
    <w:rsid w:val="00624D7A"/>
    <w:rsid w:val="00625211"/>
    <w:rsid w:val="00625A4E"/>
    <w:rsid w:val="0062632C"/>
    <w:rsid w:val="006273B4"/>
    <w:rsid w:val="0062787D"/>
    <w:rsid w:val="0063103E"/>
    <w:rsid w:val="00631362"/>
    <w:rsid w:val="00631D49"/>
    <w:rsid w:val="0063338B"/>
    <w:rsid w:val="00633797"/>
    <w:rsid w:val="006339D7"/>
    <w:rsid w:val="00636411"/>
    <w:rsid w:val="006373CE"/>
    <w:rsid w:val="00637512"/>
    <w:rsid w:val="00637AC8"/>
    <w:rsid w:val="00640048"/>
    <w:rsid w:val="00640429"/>
    <w:rsid w:val="00641000"/>
    <w:rsid w:val="00642350"/>
    <w:rsid w:val="0064236C"/>
    <w:rsid w:val="0064272F"/>
    <w:rsid w:val="00642E21"/>
    <w:rsid w:val="00643345"/>
    <w:rsid w:val="0064381E"/>
    <w:rsid w:val="006454D0"/>
    <w:rsid w:val="00646E8C"/>
    <w:rsid w:val="00647106"/>
    <w:rsid w:val="006476CF"/>
    <w:rsid w:val="0065118B"/>
    <w:rsid w:val="00651400"/>
    <w:rsid w:val="00652441"/>
    <w:rsid w:val="00652F46"/>
    <w:rsid w:val="006554EA"/>
    <w:rsid w:val="006570A3"/>
    <w:rsid w:val="00657D7D"/>
    <w:rsid w:val="006600F0"/>
    <w:rsid w:val="00660E61"/>
    <w:rsid w:val="00665337"/>
    <w:rsid w:val="00666EDD"/>
    <w:rsid w:val="00667921"/>
    <w:rsid w:val="00671C47"/>
    <w:rsid w:val="00672702"/>
    <w:rsid w:val="00672BE4"/>
    <w:rsid w:val="00673149"/>
    <w:rsid w:val="00674D03"/>
    <w:rsid w:val="0067624B"/>
    <w:rsid w:val="00676F01"/>
    <w:rsid w:val="00681839"/>
    <w:rsid w:val="00682D1C"/>
    <w:rsid w:val="00682E73"/>
    <w:rsid w:val="00684651"/>
    <w:rsid w:val="00684C57"/>
    <w:rsid w:val="00685907"/>
    <w:rsid w:val="0068616D"/>
    <w:rsid w:val="006867FA"/>
    <w:rsid w:val="006878C4"/>
    <w:rsid w:val="0069049B"/>
    <w:rsid w:val="0069068A"/>
    <w:rsid w:val="0069229F"/>
    <w:rsid w:val="00692B0D"/>
    <w:rsid w:val="00692FB0"/>
    <w:rsid w:val="006935C8"/>
    <w:rsid w:val="00693BA8"/>
    <w:rsid w:val="006949C6"/>
    <w:rsid w:val="006957EA"/>
    <w:rsid w:val="00695EAC"/>
    <w:rsid w:val="00696424"/>
    <w:rsid w:val="006970F2"/>
    <w:rsid w:val="00697DAD"/>
    <w:rsid w:val="00697F1A"/>
    <w:rsid w:val="006A0531"/>
    <w:rsid w:val="006A0AE8"/>
    <w:rsid w:val="006A1C35"/>
    <w:rsid w:val="006A4DBF"/>
    <w:rsid w:val="006A511D"/>
    <w:rsid w:val="006A6265"/>
    <w:rsid w:val="006A64D7"/>
    <w:rsid w:val="006A68E7"/>
    <w:rsid w:val="006A76A8"/>
    <w:rsid w:val="006A7855"/>
    <w:rsid w:val="006B0E1F"/>
    <w:rsid w:val="006B0EB9"/>
    <w:rsid w:val="006B100F"/>
    <w:rsid w:val="006B2B2B"/>
    <w:rsid w:val="006B442A"/>
    <w:rsid w:val="006B5F3C"/>
    <w:rsid w:val="006B6736"/>
    <w:rsid w:val="006B7E50"/>
    <w:rsid w:val="006C19E3"/>
    <w:rsid w:val="006C1A65"/>
    <w:rsid w:val="006C2005"/>
    <w:rsid w:val="006C35FC"/>
    <w:rsid w:val="006C3726"/>
    <w:rsid w:val="006C50A1"/>
    <w:rsid w:val="006C51A4"/>
    <w:rsid w:val="006C5517"/>
    <w:rsid w:val="006C5A00"/>
    <w:rsid w:val="006C5B41"/>
    <w:rsid w:val="006C5F61"/>
    <w:rsid w:val="006C6A05"/>
    <w:rsid w:val="006C7D71"/>
    <w:rsid w:val="006D176A"/>
    <w:rsid w:val="006D3A8B"/>
    <w:rsid w:val="006D3E06"/>
    <w:rsid w:val="006D4B16"/>
    <w:rsid w:val="006D4BED"/>
    <w:rsid w:val="006D7487"/>
    <w:rsid w:val="006D7B2B"/>
    <w:rsid w:val="006E15CC"/>
    <w:rsid w:val="006E1DCB"/>
    <w:rsid w:val="006E22F7"/>
    <w:rsid w:val="006E24D6"/>
    <w:rsid w:val="006E28C3"/>
    <w:rsid w:val="006E30BB"/>
    <w:rsid w:val="006E3967"/>
    <w:rsid w:val="006E43F0"/>
    <w:rsid w:val="006E486C"/>
    <w:rsid w:val="006E7160"/>
    <w:rsid w:val="006E7AD5"/>
    <w:rsid w:val="006F172A"/>
    <w:rsid w:val="006F30F2"/>
    <w:rsid w:val="006F4EAE"/>
    <w:rsid w:val="006F4F21"/>
    <w:rsid w:val="006F59BB"/>
    <w:rsid w:val="006F689D"/>
    <w:rsid w:val="006F7509"/>
    <w:rsid w:val="007009C3"/>
    <w:rsid w:val="007022FE"/>
    <w:rsid w:val="00704119"/>
    <w:rsid w:val="00704EC5"/>
    <w:rsid w:val="007056CD"/>
    <w:rsid w:val="00705B93"/>
    <w:rsid w:val="0070623E"/>
    <w:rsid w:val="007062D4"/>
    <w:rsid w:val="00706FAC"/>
    <w:rsid w:val="00707CD8"/>
    <w:rsid w:val="00707EFC"/>
    <w:rsid w:val="00713A48"/>
    <w:rsid w:val="00713B80"/>
    <w:rsid w:val="00714020"/>
    <w:rsid w:val="00714A99"/>
    <w:rsid w:val="007155B6"/>
    <w:rsid w:val="007155DC"/>
    <w:rsid w:val="00715F0C"/>
    <w:rsid w:val="00716F56"/>
    <w:rsid w:val="007177F4"/>
    <w:rsid w:val="00717827"/>
    <w:rsid w:val="00721663"/>
    <w:rsid w:val="007217D6"/>
    <w:rsid w:val="00721D66"/>
    <w:rsid w:val="00723CC5"/>
    <w:rsid w:val="00724572"/>
    <w:rsid w:val="00724D24"/>
    <w:rsid w:val="00726415"/>
    <w:rsid w:val="0072755A"/>
    <w:rsid w:val="0073032D"/>
    <w:rsid w:val="007307E8"/>
    <w:rsid w:val="00730D10"/>
    <w:rsid w:val="007325A7"/>
    <w:rsid w:val="00732713"/>
    <w:rsid w:val="007328BE"/>
    <w:rsid w:val="00733CDF"/>
    <w:rsid w:val="0073460A"/>
    <w:rsid w:val="00734E35"/>
    <w:rsid w:val="007371C2"/>
    <w:rsid w:val="007375A1"/>
    <w:rsid w:val="00740269"/>
    <w:rsid w:val="00740288"/>
    <w:rsid w:val="00741F95"/>
    <w:rsid w:val="00742BD1"/>
    <w:rsid w:val="00744ABF"/>
    <w:rsid w:val="00745150"/>
    <w:rsid w:val="00745368"/>
    <w:rsid w:val="00745C68"/>
    <w:rsid w:val="00746F18"/>
    <w:rsid w:val="00747904"/>
    <w:rsid w:val="00747AF9"/>
    <w:rsid w:val="007512A9"/>
    <w:rsid w:val="007515AD"/>
    <w:rsid w:val="00751724"/>
    <w:rsid w:val="007527D4"/>
    <w:rsid w:val="007545E4"/>
    <w:rsid w:val="007549B4"/>
    <w:rsid w:val="00754A49"/>
    <w:rsid w:val="00754ED7"/>
    <w:rsid w:val="00755C8E"/>
    <w:rsid w:val="00756591"/>
    <w:rsid w:val="00756893"/>
    <w:rsid w:val="00761400"/>
    <w:rsid w:val="0076167F"/>
    <w:rsid w:val="00762B00"/>
    <w:rsid w:val="0076302A"/>
    <w:rsid w:val="007637B8"/>
    <w:rsid w:val="00763F87"/>
    <w:rsid w:val="007646A4"/>
    <w:rsid w:val="0076509D"/>
    <w:rsid w:val="007655C3"/>
    <w:rsid w:val="00765CAA"/>
    <w:rsid w:val="007721F9"/>
    <w:rsid w:val="00773277"/>
    <w:rsid w:val="00775876"/>
    <w:rsid w:val="007759DB"/>
    <w:rsid w:val="00776DBC"/>
    <w:rsid w:val="00780577"/>
    <w:rsid w:val="00780903"/>
    <w:rsid w:val="00780984"/>
    <w:rsid w:val="00780F5D"/>
    <w:rsid w:val="00781C05"/>
    <w:rsid w:val="007822D1"/>
    <w:rsid w:val="00782B9F"/>
    <w:rsid w:val="007830FA"/>
    <w:rsid w:val="0078351D"/>
    <w:rsid w:val="00783EA4"/>
    <w:rsid w:val="00784262"/>
    <w:rsid w:val="00784A33"/>
    <w:rsid w:val="00784F69"/>
    <w:rsid w:val="00786134"/>
    <w:rsid w:val="0078625A"/>
    <w:rsid w:val="0078649C"/>
    <w:rsid w:val="00790855"/>
    <w:rsid w:val="0079248F"/>
    <w:rsid w:val="00792FF2"/>
    <w:rsid w:val="00793965"/>
    <w:rsid w:val="007949F7"/>
    <w:rsid w:val="00795E19"/>
    <w:rsid w:val="007A0A1A"/>
    <w:rsid w:val="007A1EF4"/>
    <w:rsid w:val="007A3E56"/>
    <w:rsid w:val="007A46AE"/>
    <w:rsid w:val="007A4940"/>
    <w:rsid w:val="007A5396"/>
    <w:rsid w:val="007A5FC5"/>
    <w:rsid w:val="007A6AD1"/>
    <w:rsid w:val="007A7A4D"/>
    <w:rsid w:val="007B0F72"/>
    <w:rsid w:val="007B3E5D"/>
    <w:rsid w:val="007B45C0"/>
    <w:rsid w:val="007B4A39"/>
    <w:rsid w:val="007B5A25"/>
    <w:rsid w:val="007B5AF5"/>
    <w:rsid w:val="007B6F2E"/>
    <w:rsid w:val="007B7526"/>
    <w:rsid w:val="007B79A3"/>
    <w:rsid w:val="007B7F86"/>
    <w:rsid w:val="007C1326"/>
    <w:rsid w:val="007C2230"/>
    <w:rsid w:val="007C2588"/>
    <w:rsid w:val="007C27FC"/>
    <w:rsid w:val="007C2B5D"/>
    <w:rsid w:val="007C2CE9"/>
    <w:rsid w:val="007C35D6"/>
    <w:rsid w:val="007C4436"/>
    <w:rsid w:val="007C4CD5"/>
    <w:rsid w:val="007C7C67"/>
    <w:rsid w:val="007D0122"/>
    <w:rsid w:val="007D0EE5"/>
    <w:rsid w:val="007D1062"/>
    <w:rsid w:val="007D1537"/>
    <w:rsid w:val="007D1562"/>
    <w:rsid w:val="007D242F"/>
    <w:rsid w:val="007D292F"/>
    <w:rsid w:val="007D2AD0"/>
    <w:rsid w:val="007D4014"/>
    <w:rsid w:val="007D5AF4"/>
    <w:rsid w:val="007E14E0"/>
    <w:rsid w:val="007E2BF9"/>
    <w:rsid w:val="007E32C0"/>
    <w:rsid w:val="007E5105"/>
    <w:rsid w:val="007E55A5"/>
    <w:rsid w:val="007E595C"/>
    <w:rsid w:val="007F0114"/>
    <w:rsid w:val="007F1766"/>
    <w:rsid w:val="007F1846"/>
    <w:rsid w:val="007F2614"/>
    <w:rsid w:val="007F41F6"/>
    <w:rsid w:val="007F49C2"/>
    <w:rsid w:val="007F4A8D"/>
    <w:rsid w:val="007F66DD"/>
    <w:rsid w:val="007F6F3D"/>
    <w:rsid w:val="007F70E0"/>
    <w:rsid w:val="007F79D9"/>
    <w:rsid w:val="00800BE9"/>
    <w:rsid w:val="00800D68"/>
    <w:rsid w:val="00801737"/>
    <w:rsid w:val="00801E86"/>
    <w:rsid w:val="00803A11"/>
    <w:rsid w:val="008047C0"/>
    <w:rsid w:val="00804B4F"/>
    <w:rsid w:val="00804CDE"/>
    <w:rsid w:val="008061CA"/>
    <w:rsid w:val="008064DD"/>
    <w:rsid w:val="00806F58"/>
    <w:rsid w:val="00810B19"/>
    <w:rsid w:val="008111E9"/>
    <w:rsid w:val="00811BF3"/>
    <w:rsid w:val="0081201C"/>
    <w:rsid w:val="008155C3"/>
    <w:rsid w:val="00816278"/>
    <w:rsid w:val="00816F56"/>
    <w:rsid w:val="00817232"/>
    <w:rsid w:val="00820458"/>
    <w:rsid w:val="00822293"/>
    <w:rsid w:val="00823E81"/>
    <w:rsid w:val="00825969"/>
    <w:rsid w:val="00826D41"/>
    <w:rsid w:val="00827608"/>
    <w:rsid w:val="00827F6E"/>
    <w:rsid w:val="00830A76"/>
    <w:rsid w:val="00830A87"/>
    <w:rsid w:val="008355B2"/>
    <w:rsid w:val="00835BF9"/>
    <w:rsid w:val="00836EC3"/>
    <w:rsid w:val="00837178"/>
    <w:rsid w:val="008371A8"/>
    <w:rsid w:val="0083778B"/>
    <w:rsid w:val="00840197"/>
    <w:rsid w:val="0084085D"/>
    <w:rsid w:val="00841106"/>
    <w:rsid w:val="008422EA"/>
    <w:rsid w:val="00842D39"/>
    <w:rsid w:val="00842FAB"/>
    <w:rsid w:val="00843C81"/>
    <w:rsid w:val="00843EE3"/>
    <w:rsid w:val="00844568"/>
    <w:rsid w:val="00844B6B"/>
    <w:rsid w:val="00844C15"/>
    <w:rsid w:val="00845DF2"/>
    <w:rsid w:val="00846A78"/>
    <w:rsid w:val="00850971"/>
    <w:rsid w:val="008540A2"/>
    <w:rsid w:val="008548EE"/>
    <w:rsid w:val="00855A6E"/>
    <w:rsid w:val="008566AB"/>
    <w:rsid w:val="00856E56"/>
    <w:rsid w:val="0085752E"/>
    <w:rsid w:val="00860137"/>
    <w:rsid w:val="008601B4"/>
    <w:rsid w:val="00862E02"/>
    <w:rsid w:val="00863AF9"/>
    <w:rsid w:val="008642DF"/>
    <w:rsid w:val="00864C2E"/>
    <w:rsid w:val="00865A9D"/>
    <w:rsid w:val="00867F8A"/>
    <w:rsid w:val="00870094"/>
    <w:rsid w:val="00870963"/>
    <w:rsid w:val="00870C7D"/>
    <w:rsid w:val="00870C86"/>
    <w:rsid w:val="00872229"/>
    <w:rsid w:val="00874299"/>
    <w:rsid w:val="00875725"/>
    <w:rsid w:val="00876990"/>
    <w:rsid w:val="0087770F"/>
    <w:rsid w:val="00880955"/>
    <w:rsid w:val="00881094"/>
    <w:rsid w:val="008831BE"/>
    <w:rsid w:val="00883879"/>
    <w:rsid w:val="00884A53"/>
    <w:rsid w:val="00885331"/>
    <w:rsid w:val="00890E40"/>
    <w:rsid w:val="00891330"/>
    <w:rsid w:val="00891798"/>
    <w:rsid w:val="00891844"/>
    <w:rsid w:val="00892C9E"/>
    <w:rsid w:val="008945EF"/>
    <w:rsid w:val="00895175"/>
    <w:rsid w:val="00896538"/>
    <w:rsid w:val="00896DB7"/>
    <w:rsid w:val="008A2483"/>
    <w:rsid w:val="008A367A"/>
    <w:rsid w:val="008A4DAA"/>
    <w:rsid w:val="008A502F"/>
    <w:rsid w:val="008A5CC6"/>
    <w:rsid w:val="008A67BE"/>
    <w:rsid w:val="008B0B95"/>
    <w:rsid w:val="008B1317"/>
    <w:rsid w:val="008B1888"/>
    <w:rsid w:val="008B21A0"/>
    <w:rsid w:val="008B2823"/>
    <w:rsid w:val="008B2EBA"/>
    <w:rsid w:val="008B3049"/>
    <w:rsid w:val="008B4882"/>
    <w:rsid w:val="008B4951"/>
    <w:rsid w:val="008B5AA5"/>
    <w:rsid w:val="008B5E53"/>
    <w:rsid w:val="008B62B0"/>
    <w:rsid w:val="008B7083"/>
    <w:rsid w:val="008B73E2"/>
    <w:rsid w:val="008B75F4"/>
    <w:rsid w:val="008B76AE"/>
    <w:rsid w:val="008B78F8"/>
    <w:rsid w:val="008C022C"/>
    <w:rsid w:val="008C1BF6"/>
    <w:rsid w:val="008C29DD"/>
    <w:rsid w:val="008C2A6C"/>
    <w:rsid w:val="008C5B91"/>
    <w:rsid w:val="008C665A"/>
    <w:rsid w:val="008C6973"/>
    <w:rsid w:val="008C6AA1"/>
    <w:rsid w:val="008C7094"/>
    <w:rsid w:val="008D095C"/>
    <w:rsid w:val="008D0F4E"/>
    <w:rsid w:val="008D28BD"/>
    <w:rsid w:val="008D2B32"/>
    <w:rsid w:val="008D3D5A"/>
    <w:rsid w:val="008D7131"/>
    <w:rsid w:val="008D760F"/>
    <w:rsid w:val="008D78B8"/>
    <w:rsid w:val="008E0858"/>
    <w:rsid w:val="008E1692"/>
    <w:rsid w:val="008E29A1"/>
    <w:rsid w:val="008E4322"/>
    <w:rsid w:val="008E4BB2"/>
    <w:rsid w:val="008E531B"/>
    <w:rsid w:val="008E6B61"/>
    <w:rsid w:val="008E7CEA"/>
    <w:rsid w:val="008F0182"/>
    <w:rsid w:val="008F0ED9"/>
    <w:rsid w:val="008F224A"/>
    <w:rsid w:val="008F27A1"/>
    <w:rsid w:val="008F4021"/>
    <w:rsid w:val="008F5511"/>
    <w:rsid w:val="008F606B"/>
    <w:rsid w:val="008F7368"/>
    <w:rsid w:val="008F7CB9"/>
    <w:rsid w:val="00900A66"/>
    <w:rsid w:val="00900D72"/>
    <w:rsid w:val="009023EE"/>
    <w:rsid w:val="00902969"/>
    <w:rsid w:val="00902B9A"/>
    <w:rsid w:val="00902E24"/>
    <w:rsid w:val="00903166"/>
    <w:rsid w:val="00903A05"/>
    <w:rsid w:val="00904DAC"/>
    <w:rsid w:val="009051FE"/>
    <w:rsid w:val="00905984"/>
    <w:rsid w:val="0090625A"/>
    <w:rsid w:val="00910007"/>
    <w:rsid w:val="00910091"/>
    <w:rsid w:val="00910B87"/>
    <w:rsid w:val="009126A8"/>
    <w:rsid w:val="0091286A"/>
    <w:rsid w:val="00913650"/>
    <w:rsid w:val="0091479A"/>
    <w:rsid w:val="009153CB"/>
    <w:rsid w:val="00916064"/>
    <w:rsid w:val="00916367"/>
    <w:rsid w:val="00917DF4"/>
    <w:rsid w:val="009211C6"/>
    <w:rsid w:val="009213E6"/>
    <w:rsid w:val="00921CDE"/>
    <w:rsid w:val="00922DDF"/>
    <w:rsid w:val="00923901"/>
    <w:rsid w:val="00924442"/>
    <w:rsid w:val="00924ECE"/>
    <w:rsid w:val="0092643A"/>
    <w:rsid w:val="00926DDD"/>
    <w:rsid w:val="0092729F"/>
    <w:rsid w:val="00927FD8"/>
    <w:rsid w:val="00931394"/>
    <w:rsid w:val="009327F6"/>
    <w:rsid w:val="00932E0A"/>
    <w:rsid w:val="00933FFC"/>
    <w:rsid w:val="009356A8"/>
    <w:rsid w:val="00935ED2"/>
    <w:rsid w:val="00936F83"/>
    <w:rsid w:val="009408BB"/>
    <w:rsid w:val="00941E63"/>
    <w:rsid w:val="00941FB9"/>
    <w:rsid w:val="009425B8"/>
    <w:rsid w:val="00942C67"/>
    <w:rsid w:val="00943945"/>
    <w:rsid w:val="0094648B"/>
    <w:rsid w:val="009471E4"/>
    <w:rsid w:val="009474E9"/>
    <w:rsid w:val="00947D11"/>
    <w:rsid w:val="00953ABE"/>
    <w:rsid w:val="00953CE9"/>
    <w:rsid w:val="00953D41"/>
    <w:rsid w:val="00954A5F"/>
    <w:rsid w:val="009559FC"/>
    <w:rsid w:val="00956902"/>
    <w:rsid w:val="00956A8F"/>
    <w:rsid w:val="00957058"/>
    <w:rsid w:val="00957070"/>
    <w:rsid w:val="00957579"/>
    <w:rsid w:val="00960013"/>
    <w:rsid w:val="00963D27"/>
    <w:rsid w:val="00963EC8"/>
    <w:rsid w:val="00964019"/>
    <w:rsid w:val="009656BE"/>
    <w:rsid w:val="00966B35"/>
    <w:rsid w:val="00966B6C"/>
    <w:rsid w:val="00970CF5"/>
    <w:rsid w:val="00971032"/>
    <w:rsid w:val="00971123"/>
    <w:rsid w:val="009713DD"/>
    <w:rsid w:val="00971CE3"/>
    <w:rsid w:val="00973CE8"/>
    <w:rsid w:val="009746F7"/>
    <w:rsid w:val="0097501B"/>
    <w:rsid w:val="009755A4"/>
    <w:rsid w:val="0097704E"/>
    <w:rsid w:val="00977916"/>
    <w:rsid w:val="00977DCC"/>
    <w:rsid w:val="00980207"/>
    <w:rsid w:val="00981BA5"/>
    <w:rsid w:val="00982B4F"/>
    <w:rsid w:val="00984239"/>
    <w:rsid w:val="00984757"/>
    <w:rsid w:val="00987922"/>
    <w:rsid w:val="00987D1F"/>
    <w:rsid w:val="009903EF"/>
    <w:rsid w:val="00992927"/>
    <w:rsid w:val="00993212"/>
    <w:rsid w:val="00993EED"/>
    <w:rsid w:val="0099492B"/>
    <w:rsid w:val="00995A03"/>
    <w:rsid w:val="00995F80"/>
    <w:rsid w:val="009962D6"/>
    <w:rsid w:val="009966A4"/>
    <w:rsid w:val="009968EE"/>
    <w:rsid w:val="00996AEC"/>
    <w:rsid w:val="00996F01"/>
    <w:rsid w:val="009978AA"/>
    <w:rsid w:val="00997A00"/>
    <w:rsid w:val="00997C58"/>
    <w:rsid w:val="009A0256"/>
    <w:rsid w:val="009A0403"/>
    <w:rsid w:val="009A2678"/>
    <w:rsid w:val="009A2712"/>
    <w:rsid w:val="009A2C9A"/>
    <w:rsid w:val="009A38FF"/>
    <w:rsid w:val="009A49B1"/>
    <w:rsid w:val="009A4E44"/>
    <w:rsid w:val="009A530D"/>
    <w:rsid w:val="009A5949"/>
    <w:rsid w:val="009A6824"/>
    <w:rsid w:val="009A7393"/>
    <w:rsid w:val="009B0359"/>
    <w:rsid w:val="009B1199"/>
    <w:rsid w:val="009B1A61"/>
    <w:rsid w:val="009B1B4A"/>
    <w:rsid w:val="009B1CCC"/>
    <w:rsid w:val="009B1F79"/>
    <w:rsid w:val="009B3180"/>
    <w:rsid w:val="009B3740"/>
    <w:rsid w:val="009B3D7E"/>
    <w:rsid w:val="009B455E"/>
    <w:rsid w:val="009B49B1"/>
    <w:rsid w:val="009B5ECD"/>
    <w:rsid w:val="009B6B37"/>
    <w:rsid w:val="009C057D"/>
    <w:rsid w:val="009C0E21"/>
    <w:rsid w:val="009C2115"/>
    <w:rsid w:val="009C432B"/>
    <w:rsid w:val="009C5A49"/>
    <w:rsid w:val="009C5E75"/>
    <w:rsid w:val="009C7242"/>
    <w:rsid w:val="009C728E"/>
    <w:rsid w:val="009D0466"/>
    <w:rsid w:val="009D08C6"/>
    <w:rsid w:val="009D1C9A"/>
    <w:rsid w:val="009D2EA3"/>
    <w:rsid w:val="009D36AC"/>
    <w:rsid w:val="009D4C45"/>
    <w:rsid w:val="009D57DA"/>
    <w:rsid w:val="009D6538"/>
    <w:rsid w:val="009D7690"/>
    <w:rsid w:val="009E0693"/>
    <w:rsid w:val="009E37AA"/>
    <w:rsid w:val="009E4A0D"/>
    <w:rsid w:val="009E5C4E"/>
    <w:rsid w:val="009E669C"/>
    <w:rsid w:val="009E7B1C"/>
    <w:rsid w:val="009F105E"/>
    <w:rsid w:val="009F134B"/>
    <w:rsid w:val="009F18B5"/>
    <w:rsid w:val="009F248D"/>
    <w:rsid w:val="009F2541"/>
    <w:rsid w:val="009F380C"/>
    <w:rsid w:val="009F495C"/>
    <w:rsid w:val="009F59A2"/>
    <w:rsid w:val="009F5F72"/>
    <w:rsid w:val="009F7694"/>
    <w:rsid w:val="00A00542"/>
    <w:rsid w:val="00A00CC4"/>
    <w:rsid w:val="00A013A9"/>
    <w:rsid w:val="00A0183A"/>
    <w:rsid w:val="00A02537"/>
    <w:rsid w:val="00A0332B"/>
    <w:rsid w:val="00A0563B"/>
    <w:rsid w:val="00A058C1"/>
    <w:rsid w:val="00A06304"/>
    <w:rsid w:val="00A0660A"/>
    <w:rsid w:val="00A06DF7"/>
    <w:rsid w:val="00A10454"/>
    <w:rsid w:val="00A1149F"/>
    <w:rsid w:val="00A11862"/>
    <w:rsid w:val="00A11F3F"/>
    <w:rsid w:val="00A1250E"/>
    <w:rsid w:val="00A128F6"/>
    <w:rsid w:val="00A12D3C"/>
    <w:rsid w:val="00A132E6"/>
    <w:rsid w:val="00A1331B"/>
    <w:rsid w:val="00A13DB8"/>
    <w:rsid w:val="00A16243"/>
    <w:rsid w:val="00A16EEE"/>
    <w:rsid w:val="00A173B9"/>
    <w:rsid w:val="00A20391"/>
    <w:rsid w:val="00A20B0B"/>
    <w:rsid w:val="00A21530"/>
    <w:rsid w:val="00A22C59"/>
    <w:rsid w:val="00A23594"/>
    <w:rsid w:val="00A24ABD"/>
    <w:rsid w:val="00A24E0E"/>
    <w:rsid w:val="00A25FA9"/>
    <w:rsid w:val="00A26253"/>
    <w:rsid w:val="00A30FFC"/>
    <w:rsid w:val="00A3240A"/>
    <w:rsid w:val="00A3422F"/>
    <w:rsid w:val="00A34806"/>
    <w:rsid w:val="00A357F7"/>
    <w:rsid w:val="00A3608E"/>
    <w:rsid w:val="00A3613A"/>
    <w:rsid w:val="00A37CFB"/>
    <w:rsid w:val="00A404B3"/>
    <w:rsid w:val="00A41F6D"/>
    <w:rsid w:val="00A41FAD"/>
    <w:rsid w:val="00A4269D"/>
    <w:rsid w:val="00A43BA5"/>
    <w:rsid w:val="00A46896"/>
    <w:rsid w:val="00A468E7"/>
    <w:rsid w:val="00A47005"/>
    <w:rsid w:val="00A47117"/>
    <w:rsid w:val="00A472DC"/>
    <w:rsid w:val="00A473D3"/>
    <w:rsid w:val="00A47BB0"/>
    <w:rsid w:val="00A5088D"/>
    <w:rsid w:val="00A51066"/>
    <w:rsid w:val="00A51FA7"/>
    <w:rsid w:val="00A52134"/>
    <w:rsid w:val="00A52580"/>
    <w:rsid w:val="00A52EE3"/>
    <w:rsid w:val="00A532D8"/>
    <w:rsid w:val="00A540C3"/>
    <w:rsid w:val="00A5669B"/>
    <w:rsid w:val="00A56B4A"/>
    <w:rsid w:val="00A574E7"/>
    <w:rsid w:val="00A608F8"/>
    <w:rsid w:val="00A61477"/>
    <w:rsid w:val="00A61FC5"/>
    <w:rsid w:val="00A64C47"/>
    <w:rsid w:val="00A654A4"/>
    <w:rsid w:val="00A65509"/>
    <w:rsid w:val="00A655EF"/>
    <w:rsid w:val="00A65BF9"/>
    <w:rsid w:val="00A66EE7"/>
    <w:rsid w:val="00A70093"/>
    <w:rsid w:val="00A71852"/>
    <w:rsid w:val="00A72815"/>
    <w:rsid w:val="00A732FC"/>
    <w:rsid w:val="00A74D21"/>
    <w:rsid w:val="00A752C1"/>
    <w:rsid w:val="00A768C5"/>
    <w:rsid w:val="00A77221"/>
    <w:rsid w:val="00A77357"/>
    <w:rsid w:val="00A8064E"/>
    <w:rsid w:val="00A80AA0"/>
    <w:rsid w:val="00A81CC9"/>
    <w:rsid w:val="00A82A06"/>
    <w:rsid w:val="00A833B2"/>
    <w:rsid w:val="00A83F29"/>
    <w:rsid w:val="00A84FCB"/>
    <w:rsid w:val="00A8506B"/>
    <w:rsid w:val="00A85A76"/>
    <w:rsid w:val="00A8731B"/>
    <w:rsid w:val="00A90A75"/>
    <w:rsid w:val="00A9114A"/>
    <w:rsid w:val="00A91497"/>
    <w:rsid w:val="00A9295C"/>
    <w:rsid w:val="00A92B26"/>
    <w:rsid w:val="00A944F9"/>
    <w:rsid w:val="00A947CA"/>
    <w:rsid w:val="00A95F60"/>
    <w:rsid w:val="00A969BC"/>
    <w:rsid w:val="00A96C81"/>
    <w:rsid w:val="00A979CD"/>
    <w:rsid w:val="00A97A18"/>
    <w:rsid w:val="00AA0608"/>
    <w:rsid w:val="00AA070D"/>
    <w:rsid w:val="00AA0C03"/>
    <w:rsid w:val="00AA1816"/>
    <w:rsid w:val="00AA35A7"/>
    <w:rsid w:val="00AA3B26"/>
    <w:rsid w:val="00AA4858"/>
    <w:rsid w:val="00AA4CC4"/>
    <w:rsid w:val="00AA6C24"/>
    <w:rsid w:val="00AB138F"/>
    <w:rsid w:val="00AB21EB"/>
    <w:rsid w:val="00AB34BB"/>
    <w:rsid w:val="00AB368C"/>
    <w:rsid w:val="00AB3869"/>
    <w:rsid w:val="00AB520F"/>
    <w:rsid w:val="00AB5766"/>
    <w:rsid w:val="00AB5ACF"/>
    <w:rsid w:val="00AC000D"/>
    <w:rsid w:val="00AC2DA4"/>
    <w:rsid w:val="00AC36AB"/>
    <w:rsid w:val="00AC385F"/>
    <w:rsid w:val="00AC4466"/>
    <w:rsid w:val="00AC4C73"/>
    <w:rsid w:val="00AC7DD1"/>
    <w:rsid w:val="00AD003D"/>
    <w:rsid w:val="00AD0D6E"/>
    <w:rsid w:val="00AD185E"/>
    <w:rsid w:val="00AD2C3C"/>
    <w:rsid w:val="00AD35DF"/>
    <w:rsid w:val="00AD4125"/>
    <w:rsid w:val="00AD46FC"/>
    <w:rsid w:val="00AD4DF2"/>
    <w:rsid w:val="00AD752E"/>
    <w:rsid w:val="00AE0051"/>
    <w:rsid w:val="00AE08E8"/>
    <w:rsid w:val="00AE1A09"/>
    <w:rsid w:val="00AE2ED8"/>
    <w:rsid w:val="00AE35F2"/>
    <w:rsid w:val="00AE3626"/>
    <w:rsid w:val="00AE41AE"/>
    <w:rsid w:val="00AE6274"/>
    <w:rsid w:val="00AE6700"/>
    <w:rsid w:val="00AF0057"/>
    <w:rsid w:val="00AF076D"/>
    <w:rsid w:val="00AF2B30"/>
    <w:rsid w:val="00AF2CE5"/>
    <w:rsid w:val="00AF3B0E"/>
    <w:rsid w:val="00AF3C6F"/>
    <w:rsid w:val="00AF43D7"/>
    <w:rsid w:val="00AF5944"/>
    <w:rsid w:val="00AF62C6"/>
    <w:rsid w:val="00AF6D27"/>
    <w:rsid w:val="00B008E8"/>
    <w:rsid w:val="00B01731"/>
    <w:rsid w:val="00B01C58"/>
    <w:rsid w:val="00B02320"/>
    <w:rsid w:val="00B03C3F"/>
    <w:rsid w:val="00B051F6"/>
    <w:rsid w:val="00B05380"/>
    <w:rsid w:val="00B05E76"/>
    <w:rsid w:val="00B065F6"/>
    <w:rsid w:val="00B06B79"/>
    <w:rsid w:val="00B07EFA"/>
    <w:rsid w:val="00B106E6"/>
    <w:rsid w:val="00B11027"/>
    <w:rsid w:val="00B120B3"/>
    <w:rsid w:val="00B1222F"/>
    <w:rsid w:val="00B12FFE"/>
    <w:rsid w:val="00B1365F"/>
    <w:rsid w:val="00B15D35"/>
    <w:rsid w:val="00B17094"/>
    <w:rsid w:val="00B17C1B"/>
    <w:rsid w:val="00B17CD1"/>
    <w:rsid w:val="00B219EF"/>
    <w:rsid w:val="00B25450"/>
    <w:rsid w:val="00B278FB"/>
    <w:rsid w:val="00B27AFD"/>
    <w:rsid w:val="00B31A53"/>
    <w:rsid w:val="00B31D2C"/>
    <w:rsid w:val="00B31FB1"/>
    <w:rsid w:val="00B34E98"/>
    <w:rsid w:val="00B36F5C"/>
    <w:rsid w:val="00B376A6"/>
    <w:rsid w:val="00B400E5"/>
    <w:rsid w:val="00B40FD1"/>
    <w:rsid w:val="00B419C4"/>
    <w:rsid w:val="00B4389A"/>
    <w:rsid w:val="00B4399B"/>
    <w:rsid w:val="00B43AE6"/>
    <w:rsid w:val="00B44DB9"/>
    <w:rsid w:val="00B4705E"/>
    <w:rsid w:val="00B470AF"/>
    <w:rsid w:val="00B471C7"/>
    <w:rsid w:val="00B474F9"/>
    <w:rsid w:val="00B5019D"/>
    <w:rsid w:val="00B503AA"/>
    <w:rsid w:val="00B504C3"/>
    <w:rsid w:val="00B509B9"/>
    <w:rsid w:val="00B52350"/>
    <w:rsid w:val="00B538D0"/>
    <w:rsid w:val="00B54797"/>
    <w:rsid w:val="00B54EDD"/>
    <w:rsid w:val="00B56DAE"/>
    <w:rsid w:val="00B577D1"/>
    <w:rsid w:val="00B57ECE"/>
    <w:rsid w:val="00B64B7F"/>
    <w:rsid w:val="00B64D75"/>
    <w:rsid w:val="00B66BB4"/>
    <w:rsid w:val="00B6724F"/>
    <w:rsid w:val="00B712F0"/>
    <w:rsid w:val="00B72482"/>
    <w:rsid w:val="00B73AC5"/>
    <w:rsid w:val="00B741C0"/>
    <w:rsid w:val="00B74BAE"/>
    <w:rsid w:val="00B76A4D"/>
    <w:rsid w:val="00B76D29"/>
    <w:rsid w:val="00B76DAD"/>
    <w:rsid w:val="00B7735B"/>
    <w:rsid w:val="00B777D9"/>
    <w:rsid w:val="00B8035F"/>
    <w:rsid w:val="00B81469"/>
    <w:rsid w:val="00B81F79"/>
    <w:rsid w:val="00B820CC"/>
    <w:rsid w:val="00B8214E"/>
    <w:rsid w:val="00B82A89"/>
    <w:rsid w:val="00B82D16"/>
    <w:rsid w:val="00B836A0"/>
    <w:rsid w:val="00B84EEB"/>
    <w:rsid w:val="00B8724B"/>
    <w:rsid w:val="00B872B1"/>
    <w:rsid w:val="00B8759C"/>
    <w:rsid w:val="00B90F28"/>
    <w:rsid w:val="00B928F5"/>
    <w:rsid w:val="00B949CC"/>
    <w:rsid w:val="00B95683"/>
    <w:rsid w:val="00B95B76"/>
    <w:rsid w:val="00B96376"/>
    <w:rsid w:val="00B974F9"/>
    <w:rsid w:val="00BA1466"/>
    <w:rsid w:val="00BA16A1"/>
    <w:rsid w:val="00BA1833"/>
    <w:rsid w:val="00BA262E"/>
    <w:rsid w:val="00BA2E08"/>
    <w:rsid w:val="00BA4206"/>
    <w:rsid w:val="00BA4346"/>
    <w:rsid w:val="00BA5867"/>
    <w:rsid w:val="00BA6DCE"/>
    <w:rsid w:val="00BA6E53"/>
    <w:rsid w:val="00BA74CA"/>
    <w:rsid w:val="00BB0057"/>
    <w:rsid w:val="00BB12E8"/>
    <w:rsid w:val="00BB1AD3"/>
    <w:rsid w:val="00BB208E"/>
    <w:rsid w:val="00BB2171"/>
    <w:rsid w:val="00BB223C"/>
    <w:rsid w:val="00BB2AEE"/>
    <w:rsid w:val="00BB2D85"/>
    <w:rsid w:val="00BB31EB"/>
    <w:rsid w:val="00BB359C"/>
    <w:rsid w:val="00BB55CB"/>
    <w:rsid w:val="00BB780F"/>
    <w:rsid w:val="00BC182D"/>
    <w:rsid w:val="00BC234D"/>
    <w:rsid w:val="00BC314E"/>
    <w:rsid w:val="00BC3633"/>
    <w:rsid w:val="00BC3E88"/>
    <w:rsid w:val="00BC51A6"/>
    <w:rsid w:val="00BC5461"/>
    <w:rsid w:val="00BC5910"/>
    <w:rsid w:val="00BC626D"/>
    <w:rsid w:val="00BC629C"/>
    <w:rsid w:val="00BC6C19"/>
    <w:rsid w:val="00BC7202"/>
    <w:rsid w:val="00BC78AD"/>
    <w:rsid w:val="00BC7C0E"/>
    <w:rsid w:val="00BD0909"/>
    <w:rsid w:val="00BD2012"/>
    <w:rsid w:val="00BD5521"/>
    <w:rsid w:val="00BD5AE2"/>
    <w:rsid w:val="00BD6093"/>
    <w:rsid w:val="00BD6237"/>
    <w:rsid w:val="00BD6B3D"/>
    <w:rsid w:val="00BD7F24"/>
    <w:rsid w:val="00BE0DE7"/>
    <w:rsid w:val="00BE19A9"/>
    <w:rsid w:val="00BE2C74"/>
    <w:rsid w:val="00BE2E1A"/>
    <w:rsid w:val="00BE30A4"/>
    <w:rsid w:val="00BE6DEE"/>
    <w:rsid w:val="00BE766F"/>
    <w:rsid w:val="00BE7671"/>
    <w:rsid w:val="00BE77C6"/>
    <w:rsid w:val="00BE78B3"/>
    <w:rsid w:val="00BF05F2"/>
    <w:rsid w:val="00BF16DB"/>
    <w:rsid w:val="00BF21D5"/>
    <w:rsid w:val="00BF2704"/>
    <w:rsid w:val="00BF297F"/>
    <w:rsid w:val="00BF2B08"/>
    <w:rsid w:val="00BF3940"/>
    <w:rsid w:val="00BF3C96"/>
    <w:rsid w:val="00BF45FF"/>
    <w:rsid w:val="00BF55B6"/>
    <w:rsid w:val="00C0153C"/>
    <w:rsid w:val="00C0176D"/>
    <w:rsid w:val="00C01D2E"/>
    <w:rsid w:val="00C04119"/>
    <w:rsid w:val="00C04972"/>
    <w:rsid w:val="00C10037"/>
    <w:rsid w:val="00C11F9F"/>
    <w:rsid w:val="00C13090"/>
    <w:rsid w:val="00C13B8B"/>
    <w:rsid w:val="00C16C3A"/>
    <w:rsid w:val="00C2082A"/>
    <w:rsid w:val="00C2112B"/>
    <w:rsid w:val="00C218F4"/>
    <w:rsid w:val="00C21A12"/>
    <w:rsid w:val="00C2387A"/>
    <w:rsid w:val="00C23A3D"/>
    <w:rsid w:val="00C24E3E"/>
    <w:rsid w:val="00C259CB"/>
    <w:rsid w:val="00C265BB"/>
    <w:rsid w:val="00C27FDF"/>
    <w:rsid w:val="00C31018"/>
    <w:rsid w:val="00C31B81"/>
    <w:rsid w:val="00C32474"/>
    <w:rsid w:val="00C3374C"/>
    <w:rsid w:val="00C3384C"/>
    <w:rsid w:val="00C34901"/>
    <w:rsid w:val="00C3504E"/>
    <w:rsid w:val="00C35123"/>
    <w:rsid w:val="00C35CA6"/>
    <w:rsid w:val="00C3720B"/>
    <w:rsid w:val="00C37AF1"/>
    <w:rsid w:val="00C41155"/>
    <w:rsid w:val="00C41252"/>
    <w:rsid w:val="00C41550"/>
    <w:rsid w:val="00C42356"/>
    <w:rsid w:val="00C43351"/>
    <w:rsid w:val="00C439A2"/>
    <w:rsid w:val="00C464D4"/>
    <w:rsid w:val="00C46AEA"/>
    <w:rsid w:val="00C477C4"/>
    <w:rsid w:val="00C51DC6"/>
    <w:rsid w:val="00C52221"/>
    <w:rsid w:val="00C53CBB"/>
    <w:rsid w:val="00C546C2"/>
    <w:rsid w:val="00C54758"/>
    <w:rsid w:val="00C55B08"/>
    <w:rsid w:val="00C560D2"/>
    <w:rsid w:val="00C5621F"/>
    <w:rsid w:val="00C611A4"/>
    <w:rsid w:val="00C61634"/>
    <w:rsid w:val="00C63903"/>
    <w:rsid w:val="00C64220"/>
    <w:rsid w:val="00C6564D"/>
    <w:rsid w:val="00C674D6"/>
    <w:rsid w:val="00C6798D"/>
    <w:rsid w:val="00C7035D"/>
    <w:rsid w:val="00C704B7"/>
    <w:rsid w:val="00C707C4"/>
    <w:rsid w:val="00C70D87"/>
    <w:rsid w:val="00C71528"/>
    <w:rsid w:val="00C72C68"/>
    <w:rsid w:val="00C73369"/>
    <w:rsid w:val="00C73615"/>
    <w:rsid w:val="00C74003"/>
    <w:rsid w:val="00C7411A"/>
    <w:rsid w:val="00C75B61"/>
    <w:rsid w:val="00C769BA"/>
    <w:rsid w:val="00C80F80"/>
    <w:rsid w:val="00C81CD5"/>
    <w:rsid w:val="00C842CE"/>
    <w:rsid w:val="00C86F4F"/>
    <w:rsid w:val="00C87DA9"/>
    <w:rsid w:val="00C91D49"/>
    <w:rsid w:val="00C92345"/>
    <w:rsid w:val="00C92723"/>
    <w:rsid w:val="00C92CCE"/>
    <w:rsid w:val="00C93E6D"/>
    <w:rsid w:val="00C9421D"/>
    <w:rsid w:val="00C943AE"/>
    <w:rsid w:val="00C960A0"/>
    <w:rsid w:val="00C973F2"/>
    <w:rsid w:val="00CA04AE"/>
    <w:rsid w:val="00CA1862"/>
    <w:rsid w:val="00CA2026"/>
    <w:rsid w:val="00CA2B68"/>
    <w:rsid w:val="00CA32EA"/>
    <w:rsid w:val="00CA3E15"/>
    <w:rsid w:val="00CA4D80"/>
    <w:rsid w:val="00CA53FC"/>
    <w:rsid w:val="00CA573C"/>
    <w:rsid w:val="00CA6022"/>
    <w:rsid w:val="00CA6FAC"/>
    <w:rsid w:val="00CB0750"/>
    <w:rsid w:val="00CB0CEE"/>
    <w:rsid w:val="00CB1645"/>
    <w:rsid w:val="00CB20A6"/>
    <w:rsid w:val="00CB36AD"/>
    <w:rsid w:val="00CB3E42"/>
    <w:rsid w:val="00CB4367"/>
    <w:rsid w:val="00CB4450"/>
    <w:rsid w:val="00CB48BE"/>
    <w:rsid w:val="00CB505D"/>
    <w:rsid w:val="00CB5F12"/>
    <w:rsid w:val="00CB6243"/>
    <w:rsid w:val="00CB7739"/>
    <w:rsid w:val="00CC1BD6"/>
    <w:rsid w:val="00CC3188"/>
    <w:rsid w:val="00CC566A"/>
    <w:rsid w:val="00CC6701"/>
    <w:rsid w:val="00CC6B95"/>
    <w:rsid w:val="00CC7EE9"/>
    <w:rsid w:val="00CD033F"/>
    <w:rsid w:val="00CD0B88"/>
    <w:rsid w:val="00CD1DF9"/>
    <w:rsid w:val="00CD2402"/>
    <w:rsid w:val="00CD3625"/>
    <w:rsid w:val="00CD427A"/>
    <w:rsid w:val="00CD456F"/>
    <w:rsid w:val="00CD4EB6"/>
    <w:rsid w:val="00CD617E"/>
    <w:rsid w:val="00CD6741"/>
    <w:rsid w:val="00CD72DE"/>
    <w:rsid w:val="00CD7839"/>
    <w:rsid w:val="00CD7BBE"/>
    <w:rsid w:val="00CE095D"/>
    <w:rsid w:val="00CE1662"/>
    <w:rsid w:val="00CE1825"/>
    <w:rsid w:val="00CE182A"/>
    <w:rsid w:val="00CE1F1D"/>
    <w:rsid w:val="00CE2849"/>
    <w:rsid w:val="00CE2E50"/>
    <w:rsid w:val="00CE2FFD"/>
    <w:rsid w:val="00CE4E21"/>
    <w:rsid w:val="00CE52FA"/>
    <w:rsid w:val="00CE5BCF"/>
    <w:rsid w:val="00CE5FDB"/>
    <w:rsid w:val="00CE6B6B"/>
    <w:rsid w:val="00CF0438"/>
    <w:rsid w:val="00CF04C1"/>
    <w:rsid w:val="00CF05F9"/>
    <w:rsid w:val="00CF10BB"/>
    <w:rsid w:val="00CF3042"/>
    <w:rsid w:val="00CF38DA"/>
    <w:rsid w:val="00CF4364"/>
    <w:rsid w:val="00CF4ABE"/>
    <w:rsid w:val="00CF69C1"/>
    <w:rsid w:val="00CF77DD"/>
    <w:rsid w:val="00D01871"/>
    <w:rsid w:val="00D01D32"/>
    <w:rsid w:val="00D05B96"/>
    <w:rsid w:val="00D0632F"/>
    <w:rsid w:val="00D07211"/>
    <w:rsid w:val="00D07BCF"/>
    <w:rsid w:val="00D10230"/>
    <w:rsid w:val="00D10D47"/>
    <w:rsid w:val="00D12C91"/>
    <w:rsid w:val="00D137E2"/>
    <w:rsid w:val="00D13A5A"/>
    <w:rsid w:val="00D15DC5"/>
    <w:rsid w:val="00D162B2"/>
    <w:rsid w:val="00D176BD"/>
    <w:rsid w:val="00D202F9"/>
    <w:rsid w:val="00D215F3"/>
    <w:rsid w:val="00D2185F"/>
    <w:rsid w:val="00D223EC"/>
    <w:rsid w:val="00D22CAA"/>
    <w:rsid w:val="00D22D64"/>
    <w:rsid w:val="00D22ED1"/>
    <w:rsid w:val="00D233C0"/>
    <w:rsid w:val="00D23E57"/>
    <w:rsid w:val="00D24779"/>
    <w:rsid w:val="00D27616"/>
    <w:rsid w:val="00D2768C"/>
    <w:rsid w:val="00D300D3"/>
    <w:rsid w:val="00D300F4"/>
    <w:rsid w:val="00D31207"/>
    <w:rsid w:val="00D31CE2"/>
    <w:rsid w:val="00D32EA7"/>
    <w:rsid w:val="00D33775"/>
    <w:rsid w:val="00D33CAF"/>
    <w:rsid w:val="00D34815"/>
    <w:rsid w:val="00D35578"/>
    <w:rsid w:val="00D35FA4"/>
    <w:rsid w:val="00D36304"/>
    <w:rsid w:val="00D36483"/>
    <w:rsid w:val="00D37476"/>
    <w:rsid w:val="00D37672"/>
    <w:rsid w:val="00D378C0"/>
    <w:rsid w:val="00D40691"/>
    <w:rsid w:val="00D40B6D"/>
    <w:rsid w:val="00D41258"/>
    <w:rsid w:val="00D413CB"/>
    <w:rsid w:val="00D41BB0"/>
    <w:rsid w:val="00D432F6"/>
    <w:rsid w:val="00D43A82"/>
    <w:rsid w:val="00D44295"/>
    <w:rsid w:val="00D45823"/>
    <w:rsid w:val="00D468AC"/>
    <w:rsid w:val="00D469A3"/>
    <w:rsid w:val="00D50E2C"/>
    <w:rsid w:val="00D5162E"/>
    <w:rsid w:val="00D516A4"/>
    <w:rsid w:val="00D523A7"/>
    <w:rsid w:val="00D52D31"/>
    <w:rsid w:val="00D53A1F"/>
    <w:rsid w:val="00D54690"/>
    <w:rsid w:val="00D54734"/>
    <w:rsid w:val="00D54D99"/>
    <w:rsid w:val="00D5514F"/>
    <w:rsid w:val="00D56294"/>
    <w:rsid w:val="00D56512"/>
    <w:rsid w:val="00D56797"/>
    <w:rsid w:val="00D56C9E"/>
    <w:rsid w:val="00D56E7F"/>
    <w:rsid w:val="00D60BF0"/>
    <w:rsid w:val="00D61140"/>
    <w:rsid w:val="00D62BB9"/>
    <w:rsid w:val="00D62DBE"/>
    <w:rsid w:val="00D63EB8"/>
    <w:rsid w:val="00D644B1"/>
    <w:rsid w:val="00D658A1"/>
    <w:rsid w:val="00D66543"/>
    <w:rsid w:val="00D66DA1"/>
    <w:rsid w:val="00D67094"/>
    <w:rsid w:val="00D72F4B"/>
    <w:rsid w:val="00D73AEC"/>
    <w:rsid w:val="00D7725A"/>
    <w:rsid w:val="00D777E0"/>
    <w:rsid w:val="00D8068E"/>
    <w:rsid w:val="00D81ACD"/>
    <w:rsid w:val="00D83298"/>
    <w:rsid w:val="00D83351"/>
    <w:rsid w:val="00D834F2"/>
    <w:rsid w:val="00D83B50"/>
    <w:rsid w:val="00D83F7B"/>
    <w:rsid w:val="00D85065"/>
    <w:rsid w:val="00D85254"/>
    <w:rsid w:val="00D8582E"/>
    <w:rsid w:val="00D87083"/>
    <w:rsid w:val="00D90992"/>
    <w:rsid w:val="00D90D0C"/>
    <w:rsid w:val="00D92144"/>
    <w:rsid w:val="00D9376F"/>
    <w:rsid w:val="00D97322"/>
    <w:rsid w:val="00D97569"/>
    <w:rsid w:val="00DA1499"/>
    <w:rsid w:val="00DA1DB8"/>
    <w:rsid w:val="00DA347B"/>
    <w:rsid w:val="00DA39FC"/>
    <w:rsid w:val="00DA3CDF"/>
    <w:rsid w:val="00DA4C8F"/>
    <w:rsid w:val="00DA4CE7"/>
    <w:rsid w:val="00DA53D3"/>
    <w:rsid w:val="00DA6545"/>
    <w:rsid w:val="00DA65D3"/>
    <w:rsid w:val="00DA6A0B"/>
    <w:rsid w:val="00DA7CC4"/>
    <w:rsid w:val="00DB02B7"/>
    <w:rsid w:val="00DB28C3"/>
    <w:rsid w:val="00DB2D0C"/>
    <w:rsid w:val="00DB2EAF"/>
    <w:rsid w:val="00DB43E4"/>
    <w:rsid w:val="00DB6B76"/>
    <w:rsid w:val="00DB7AE9"/>
    <w:rsid w:val="00DB7E92"/>
    <w:rsid w:val="00DC1F00"/>
    <w:rsid w:val="00DC2927"/>
    <w:rsid w:val="00DC2C58"/>
    <w:rsid w:val="00DC336B"/>
    <w:rsid w:val="00DC3AC6"/>
    <w:rsid w:val="00DC40C1"/>
    <w:rsid w:val="00DC4A19"/>
    <w:rsid w:val="00DC54EB"/>
    <w:rsid w:val="00DC6B7D"/>
    <w:rsid w:val="00DC6E35"/>
    <w:rsid w:val="00DC7297"/>
    <w:rsid w:val="00DD0161"/>
    <w:rsid w:val="00DD1304"/>
    <w:rsid w:val="00DD2522"/>
    <w:rsid w:val="00DD2ADC"/>
    <w:rsid w:val="00DD2B7F"/>
    <w:rsid w:val="00DD3A19"/>
    <w:rsid w:val="00DD4CE4"/>
    <w:rsid w:val="00DD5388"/>
    <w:rsid w:val="00DD58EE"/>
    <w:rsid w:val="00DD5CF6"/>
    <w:rsid w:val="00DD60B3"/>
    <w:rsid w:val="00DE1255"/>
    <w:rsid w:val="00DE2C79"/>
    <w:rsid w:val="00DE3211"/>
    <w:rsid w:val="00DE321C"/>
    <w:rsid w:val="00DE39FD"/>
    <w:rsid w:val="00DE4451"/>
    <w:rsid w:val="00DE4536"/>
    <w:rsid w:val="00DE4BA8"/>
    <w:rsid w:val="00DE53F1"/>
    <w:rsid w:val="00DE629F"/>
    <w:rsid w:val="00DE72CE"/>
    <w:rsid w:val="00DE7922"/>
    <w:rsid w:val="00DE7E56"/>
    <w:rsid w:val="00DF0133"/>
    <w:rsid w:val="00DF0E31"/>
    <w:rsid w:val="00DF1792"/>
    <w:rsid w:val="00DF213A"/>
    <w:rsid w:val="00DF35AB"/>
    <w:rsid w:val="00DF36EA"/>
    <w:rsid w:val="00DF3734"/>
    <w:rsid w:val="00DF3E5B"/>
    <w:rsid w:val="00DF3E84"/>
    <w:rsid w:val="00DF3F48"/>
    <w:rsid w:val="00DF48EF"/>
    <w:rsid w:val="00DF4E02"/>
    <w:rsid w:val="00E01923"/>
    <w:rsid w:val="00E03F37"/>
    <w:rsid w:val="00E03FC7"/>
    <w:rsid w:val="00E045D8"/>
    <w:rsid w:val="00E05327"/>
    <w:rsid w:val="00E05877"/>
    <w:rsid w:val="00E06D46"/>
    <w:rsid w:val="00E077C6"/>
    <w:rsid w:val="00E113AC"/>
    <w:rsid w:val="00E133E3"/>
    <w:rsid w:val="00E133F0"/>
    <w:rsid w:val="00E135C8"/>
    <w:rsid w:val="00E1501D"/>
    <w:rsid w:val="00E15BF2"/>
    <w:rsid w:val="00E15F1F"/>
    <w:rsid w:val="00E16531"/>
    <w:rsid w:val="00E16572"/>
    <w:rsid w:val="00E171BB"/>
    <w:rsid w:val="00E20751"/>
    <w:rsid w:val="00E20BC8"/>
    <w:rsid w:val="00E21D2D"/>
    <w:rsid w:val="00E21E71"/>
    <w:rsid w:val="00E23B58"/>
    <w:rsid w:val="00E23C0D"/>
    <w:rsid w:val="00E2431C"/>
    <w:rsid w:val="00E24EE2"/>
    <w:rsid w:val="00E25F5C"/>
    <w:rsid w:val="00E261D6"/>
    <w:rsid w:val="00E26A50"/>
    <w:rsid w:val="00E2731E"/>
    <w:rsid w:val="00E274D2"/>
    <w:rsid w:val="00E3089B"/>
    <w:rsid w:val="00E308C1"/>
    <w:rsid w:val="00E31A32"/>
    <w:rsid w:val="00E31EE9"/>
    <w:rsid w:val="00E32788"/>
    <w:rsid w:val="00E34E11"/>
    <w:rsid w:val="00E4155B"/>
    <w:rsid w:val="00E41C87"/>
    <w:rsid w:val="00E41DA5"/>
    <w:rsid w:val="00E41DCC"/>
    <w:rsid w:val="00E42214"/>
    <w:rsid w:val="00E4302C"/>
    <w:rsid w:val="00E43365"/>
    <w:rsid w:val="00E4423A"/>
    <w:rsid w:val="00E460CB"/>
    <w:rsid w:val="00E468C8"/>
    <w:rsid w:val="00E47679"/>
    <w:rsid w:val="00E476AD"/>
    <w:rsid w:val="00E47736"/>
    <w:rsid w:val="00E47A9C"/>
    <w:rsid w:val="00E50252"/>
    <w:rsid w:val="00E50777"/>
    <w:rsid w:val="00E50E98"/>
    <w:rsid w:val="00E514EA"/>
    <w:rsid w:val="00E518B2"/>
    <w:rsid w:val="00E52C73"/>
    <w:rsid w:val="00E52CCF"/>
    <w:rsid w:val="00E53506"/>
    <w:rsid w:val="00E53FAE"/>
    <w:rsid w:val="00E54F72"/>
    <w:rsid w:val="00E5593E"/>
    <w:rsid w:val="00E55C57"/>
    <w:rsid w:val="00E56676"/>
    <w:rsid w:val="00E56D12"/>
    <w:rsid w:val="00E60129"/>
    <w:rsid w:val="00E6143F"/>
    <w:rsid w:val="00E618FA"/>
    <w:rsid w:val="00E6294A"/>
    <w:rsid w:val="00E6347C"/>
    <w:rsid w:val="00E637D0"/>
    <w:rsid w:val="00E644BD"/>
    <w:rsid w:val="00E64D05"/>
    <w:rsid w:val="00E6571D"/>
    <w:rsid w:val="00E66448"/>
    <w:rsid w:val="00E66520"/>
    <w:rsid w:val="00E67125"/>
    <w:rsid w:val="00E6718D"/>
    <w:rsid w:val="00E672FF"/>
    <w:rsid w:val="00E67502"/>
    <w:rsid w:val="00E7167E"/>
    <w:rsid w:val="00E7313F"/>
    <w:rsid w:val="00E744E5"/>
    <w:rsid w:val="00E75E42"/>
    <w:rsid w:val="00E762E5"/>
    <w:rsid w:val="00E775C0"/>
    <w:rsid w:val="00E80ECF"/>
    <w:rsid w:val="00E814AB"/>
    <w:rsid w:val="00E819BD"/>
    <w:rsid w:val="00E823CC"/>
    <w:rsid w:val="00E82EC0"/>
    <w:rsid w:val="00E831AA"/>
    <w:rsid w:val="00E83F20"/>
    <w:rsid w:val="00E84590"/>
    <w:rsid w:val="00E84FA5"/>
    <w:rsid w:val="00E856DA"/>
    <w:rsid w:val="00E86F7C"/>
    <w:rsid w:val="00E91265"/>
    <w:rsid w:val="00E92BF6"/>
    <w:rsid w:val="00E93D23"/>
    <w:rsid w:val="00E949D2"/>
    <w:rsid w:val="00E9588E"/>
    <w:rsid w:val="00E95CA8"/>
    <w:rsid w:val="00E9610F"/>
    <w:rsid w:val="00E9735A"/>
    <w:rsid w:val="00E97D9D"/>
    <w:rsid w:val="00EA1027"/>
    <w:rsid w:val="00EA315B"/>
    <w:rsid w:val="00EA3BCD"/>
    <w:rsid w:val="00EA47A4"/>
    <w:rsid w:val="00EA647D"/>
    <w:rsid w:val="00EA6B37"/>
    <w:rsid w:val="00EA74AF"/>
    <w:rsid w:val="00EA7B04"/>
    <w:rsid w:val="00EB0C76"/>
    <w:rsid w:val="00EB2BE6"/>
    <w:rsid w:val="00EB3BAA"/>
    <w:rsid w:val="00EB3E08"/>
    <w:rsid w:val="00EB582F"/>
    <w:rsid w:val="00EB5A18"/>
    <w:rsid w:val="00EC020A"/>
    <w:rsid w:val="00EC02C1"/>
    <w:rsid w:val="00EC1008"/>
    <w:rsid w:val="00EC1E5D"/>
    <w:rsid w:val="00EC2A72"/>
    <w:rsid w:val="00EC2FA5"/>
    <w:rsid w:val="00EC33C3"/>
    <w:rsid w:val="00EC5509"/>
    <w:rsid w:val="00EC5FB8"/>
    <w:rsid w:val="00ED1334"/>
    <w:rsid w:val="00ED1492"/>
    <w:rsid w:val="00ED22E8"/>
    <w:rsid w:val="00ED2698"/>
    <w:rsid w:val="00ED2F23"/>
    <w:rsid w:val="00ED3AD4"/>
    <w:rsid w:val="00ED4060"/>
    <w:rsid w:val="00ED40E5"/>
    <w:rsid w:val="00ED453B"/>
    <w:rsid w:val="00ED71C6"/>
    <w:rsid w:val="00ED7C0B"/>
    <w:rsid w:val="00ED7F7E"/>
    <w:rsid w:val="00EE0125"/>
    <w:rsid w:val="00EE0C08"/>
    <w:rsid w:val="00EE12A8"/>
    <w:rsid w:val="00EE4317"/>
    <w:rsid w:val="00EE4BD2"/>
    <w:rsid w:val="00EE539C"/>
    <w:rsid w:val="00EE6DA8"/>
    <w:rsid w:val="00EE713D"/>
    <w:rsid w:val="00EE7B20"/>
    <w:rsid w:val="00EF053C"/>
    <w:rsid w:val="00EF0718"/>
    <w:rsid w:val="00EF073C"/>
    <w:rsid w:val="00EF1A99"/>
    <w:rsid w:val="00EF28C5"/>
    <w:rsid w:val="00EF2EE5"/>
    <w:rsid w:val="00EF32EB"/>
    <w:rsid w:val="00EF34A2"/>
    <w:rsid w:val="00EF38B7"/>
    <w:rsid w:val="00EF440A"/>
    <w:rsid w:val="00EF4ADD"/>
    <w:rsid w:val="00EF4AE7"/>
    <w:rsid w:val="00EF4E22"/>
    <w:rsid w:val="00EF57F9"/>
    <w:rsid w:val="00EF5821"/>
    <w:rsid w:val="00F01710"/>
    <w:rsid w:val="00F01B5D"/>
    <w:rsid w:val="00F01E22"/>
    <w:rsid w:val="00F030FE"/>
    <w:rsid w:val="00F037AB"/>
    <w:rsid w:val="00F0448B"/>
    <w:rsid w:val="00F04B34"/>
    <w:rsid w:val="00F07B2E"/>
    <w:rsid w:val="00F07FED"/>
    <w:rsid w:val="00F1086D"/>
    <w:rsid w:val="00F112FF"/>
    <w:rsid w:val="00F13388"/>
    <w:rsid w:val="00F138CA"/>
    <w:rsid w:val="00F13E45"/>
    <w:rsid w:val="00F13E76"/>
    <w:rsid w:val="00F14499"/>
    <w:rsid w:val="00F1491F"/>
    <w:rsid w:val="00F149D0"/>
    <w:rsid w:val="00F151B9"/>
    <w:rsid w:val="00F16383"/>
    <w:rsid w:val="00F17072"/>
    <w:rsid w:val="00F21037"/>
    <w:rsid w:val="00F21828"/>
    <w:rsid w:val="00F21C50"/>
    <w:rsid w:val="00F21DBE"/>
    <w:rsid w:val="00F22248"/>
    <w:rsid w:val="00F224E8"/>
    <w:rsid w:val="00F22846"/>
    <w:rsid w:val="00F22DAF"/>
    <w:rsid w:val="00F23C24"/>
    <w:rsid w:val="00F23E4C"/>
    <w:rsid w:val="00F23F97"/>
    <w:rsid w:val="00F25421"/>
    <w:rsid w:val="00F27569"/>
    <w:rsid w:val="00F30163"/>
    <w:rsid w:val="00F302CB"/>
    <w:rsid w:val="00F30313"/>
    <w:rsid w:val="00F330C0"/>
    <w:rsid w:val="00F36E31"/>
    <w:rsid w:val="00F4011F"/>
    <w:rsid w:val="00F40945"/>
    <w:rsid w:val="00F40EE1"/>
    <w:rsid w:val="00F4250F"/>
    <w:rsid w:val="00F44383"/>
    <w:rsid w:val="00F45624"/>
    <w:rsid w:val="00F4671C"/>
    <w:rsid w:val="00F46931"/>
    <w:rsid w:val="00F46B9E"/>
    <w:rsid w:val="00F51AF9"/>
    <w:rsid w:val="00F53354"/>
    <w:rsid w:val="00F53962"/>
    <w:rsid w:val="00F53F5B"/>
    <w:rsid w:val="00F54B6A"/>
    <w:rsid w:val="00F56358"/>
    <w:rsid w:val="00F57C70"/>
    <w:rsid w:val="00F60526"/>
    <w:rsid w:val="00F618B4"/>
    <w:rsid w:val="00F61ECC"/>
    <w:rsid w:val="00F636E2"/>
    <w:rsid w:val="00F64444"/>
    <w:rsid w:val="00F64AE9"/>
    <w:rsid w:val="00F65A0F"/>
    <w:rsid w:val="00F662BF"/>
    <w:rsid w:val="00F6772C"/>
    <w:rsid w:val="00F67D55"/>
    <w:rsid w:val="00F72A20"/>
    <w:rsid w:val="00F746E5"/>
    <w:rsid w:val="00F80169"/>
    <w:rsid w:val="00F80326"/>
    <w:rsid w:val="00F80B23"/>
    <w:rsid w:val="00F80CEE"/>
    <w:rsid w:val="00F80EDB"/>
    <w:rsid w:val="00F810C5"/>
    <w:rsid w:val="00F811A9"/>
    <w:rsid w:val="00F81620"/>
    <w:rsid w:val="00F82041"/>
    <w:rsid w:val="00F82096"/>
    <w:rsid w:val="00F820DF"/>
    <w:rsid w:val="00F8691E"/>
    <w:rsid w:val="00F8710F"/>
    <w:rsid w:val="00F90B01"/>
    <w:rsid w:val="00F911E0"/>
    <w:rsid w:val="00F925EF"/>
    <w:rsid w:val="00F93830"/>
    <w:rsid w:val="00F9443E"/>
    <w:rsid w:val="00F94D82"/>
    <w:rsid w:val="00F9561A"/>
    <w:rsid w:val="00F9726D"/>
    <w:rsid w:val="00FA069F"/>
    <w:rsid w:val="00FA0729"/>
    <w:rsid w:val="00FA08E1"/>
    <w:rsid w:val="00FA0CCB"/>
    <w:rsid w:val="00FA28B9"/>
    <w:rsid w:val="00FA3DE3"/>
    <w:rsid w:val="00FA3F9F"/>
    <w:rsid w:val="00FA7891"/>
    <w:rsid w:val="00FA7DF6"/>
    <w:rsid w:val="00FB0AC3"/>
    <w:rsid w:val="00FB3E0D"/>
    <w:rsid w:val="00FB401F"/>
    <w:rsid w:val="00FB4C3A"/>
    <w:rsid w:val="00FB4E3C"/>
    <w:rsid w:val="00FB587A"/>
    <w:rsid w:val="00FB5A9A"/>
    <w:rsid w:val="00FB64A9"/>
    <w:rsid w:val="00FC07BD"/>
    <w:rsid w:val="00FC0FD2"/>
    <w:rsid w:val="00FC1991"/>
    <w:rsid w:val="00FC1F59"/>
    <w:rsid w:val="00FC3119"/>
    <w:rsid w:val="00FC31D8"/>
    <w:rsid w:val="00FC3989"/>
    <w:rsid w:val="00FC3D18"/>
    <w:rsid w:val="00FC3F15"/>
    <w:rsid w:val="00FC4277"/>
    <w:rsid w:val="00FC541D"/>
    <w:rsid w:val="00FC7A26"/>
    <w:rsid w:val="00FD086F"/>
    <w:rsid w:val="00FD1146"/>
    <w:rsid w:val="00FD33B5"/>
    <w:rsid w:val="00FD3CFA"/>
    <w:rsid w:val="00FD4C17"/>
    <w:rsid w:val="00FD52AD"/>
    <w:rsid w:val="00FE08A4"/>
    <w:rsid w:val="00FE0BBA"/>
    <w:rsid w:val="00FE10D4"/>
    <w:rsid w:val="00FE156F"/>
    <w:rsid w:val="00FE17A7"/>
    <w:rsid w:val="00FE19D2"/>
    <w:rsid w:val="00FE2355"/>
    <w:rsid w:val="00FE296B"/>
    <w:rsid w:val="00FE42D6"/>
    <w:rsid w:val="00FE5BA0"/>
    <w:rsid w:val="00FE6189"/>
    <w:rsid w:val="00FE6397"/>
    <w:rsid w:val="00FE66D0"/>
    <w:rsid w:val="00FE676F"/>
    <w:rsid w:val="00FE6D08"/>
    <w:rsid w:val="00FE7533"/>
    <w:rsid w:val="00FF1C84"/>
    <w:rsid w:val="00FF2C7A"/>
    <w:rsid w:val="00FF428A"/>
    <w:rsid w:val="00FF46DB"/>
    <w:rsid w:val="00FF5FC1"/>
    <w:rsid w:val="00FF6BD9"/>
    <w:rsid w:val="00FF76CE"/>
    <w:rsid w:val="00FF7DC2"/>
    <w:rsid w:val="01FA1C52"/>
    <w:rsid w:val="03151A50"/>
    <w:rsid w:val="06CD8D75"/>
    <w:rsid w:val="08EEC6E2"/>
    <w:rsid w:val="09F8F044"/>
    <w:rsid w:val="0B8A77CC"/>
    <w:rsid w:val="0CDFDE9D"/>
    <w:rsid w:val="0FB5968E"/>
    <w:rsid w:val="10B46B8D"/>
    <w:rsid w:val="11471CCB"/>
    <w:rsid w:val="17BA8E38"/>
    <w:rsid w:val="194E3185"/>
    <w:rsid w:val="195A1C36"/>
    <w:rsid w:val="1A182454"/>
    <w:rsid w:val="1C0A6B67"/>
    <w:rsid w:val="1C928754"/>
    <w:rsid w:val="204A2A7F"/>
    <w:rsid w:val="249CCEDD"/>
    <w:rsid w:val="2549B444"/>
    <w:rsid w:val="25B091CC"/>
    <w:rsid w:val="2601FEC4"/>
    <w:rsid w:val="27D46F9F"/>
    <w:rsid w:val="29704000"/>
    <w:rsid w:val="2B0C1061"/>
    <w:rsid w:val="2B6670C6"/>
    <w:rsid w:val="2E2A88C6"/>
    <w:rsid w:val="2E31194A"/>
    <w:rsid w:val="3044855F"/>
    <w:rsid w:val="3252885A"/>
    <w:rsid w:val="3573A62A"/>
    <w:rsid w:val="37445D36"/>
    <w:rsid w:val="3A355F6C"/>
    <w:rsid w:val="3A9026F1"/>
    <w:rsid w:val="3CCA7D25"/>
    <w:rsid w:val="3CD6902F"/>
    <w:rsid w:val="43921CD4"/>
    <w:rsid w:val="441AEE98"/>
    <w:rsid w:val="44784DE5"/>
    <w:rsid w:val="4B53D0B4"/>
    <w:rsid w:val="4B87A3E7"/>
    <w:rsid w:val="4C997F5D"/>
    <w:rsid w:val="4D838690"/>
    <w:rsid w:val="515C8BD3"/>
    <w:rsid w:val="540C780B"/>
    <w:rsid w:val="54DE3E1C"/>
    <w:rsid w:val="57446A5B"/>
    <w:rsid w:val="5B5B6078"/>
    <w:rsid w:val="5D1409E2"/>
    <w:rsid w:val="5DE2D470"/>
    <w:rsid w:val="5F491067"/>
    <w:rsid w:val="60F7A8BC"/>
    <w:rsid w:val="6297BB1F"/>
    <w:rsid w:val="63AA0886"/>
    <w:rsid w:val="63DDCDDF"/>
    <w:rsid w:val="646F4292"/>
    <w:rsid w:val="6545D8E7"/>
    <w:rsid w:val="66E1A948"/>
    <w:rsid w:val="68756DDA"/>
    <w:rsid w:val="6A90D727"/>
    <w:rsid w:val="6BB75AAA"/>
    <w:rsid w:val="6CB2A581"/>
    <w:rsid w:val="6EA46A3F"/>
    <w:rsid w:val="70095C19"/>
    <w:rsid w:val="72361198"/>
    <w:rsid w:val="736AE4FB"/>
    <w:rsid w:val="76B9FE3E"/>
    <w:rsid w:val="76C4AF8D"/>
    <w:rsid w:val="775E03EF"/>
    <w:rsid w:val="79250DF3"/>
    <w:rsid w:val="7B0809B1"/>
    <w:rsid w:val="7EBA8E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CACC8B"/>
  <w15:chartTrackingRefBased/>
  <w15:docId w15:val="{0F063116-D3CB-441E-8A42-F097081F3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6DDD"/>
  </w:style>
  <w:style w:type="paragraph" w:styleId="Heading1">
    <w:name w:val="heading 1"/>
    <w:basedOn w:val="Normal"/>
    <w:next w:val="Normal"/>
    <w:link w:val="Heading1Char"/>
    <w:uiPriority w:val="9"/>
    <w:qFormat/>
    <w:rsid w:val="001F7D9A"/>
    <w:pPr>
      <w:keepNext/>
      <w:keepLines/>
      <w:spacing w:before="240"/>
      <w:outlineLvl w:val="0"/>
    </w:pPr>
    <w:rPr>
      <w:rFonts w:eastAsiaTheme="majorEastAsia" w:cstheme="majorBidi"/>
      <w:b/>
      <w:caps/>
      <w:color w:val="1F3864" w:themeColor="accent1" w:themeShade="80"/>
      <w:szCs w:val="32"/>
    </w:rPr>
  </w:style>
  <w:style w:type="paragraph" w:styleId="Heading2">
    <w:name w:val="heading 2"/>
    <w:basedOn w:val="Normal"/>
    <w:next w:val="Normal"/>
    <w:link w:val="Heading2Char"/>
    <w:uiPriority w:val="9"/>
    <w:unhideWhenUsed/>
    <w:qFormat/>
    <w:rsid w:val="001F7D9A"/>
    <w:pPr>
      <w:keepNext/>
      <w:keepLines/>
      <w:spacing w:before="160"/>
      <w:outlineLvl w:val="1"/>
    </w:pPr>
    <w:rPr>
      <w:rFonts w:eastAsiaTheme="majorEastAsia" w:cstheme="majorBidi"/>
      <w:b/>
      <w:i/>
      <w:szCs w:val="26"/>
    </w:rPr>
  </w:style>
  <w:style w:type="paragraph" w:styleId="Heading3">
    <w:name w:val="heading 3"/>
    <w:basedOn w:val="Normal"/>
    <w:next w:val="Normal"/>
    <w:link w:val="Heading3Char"/>
    <w:uiPriority w:val="9"/>
    <w:semiHidden/>
    <w:unhideWhenUsed/>
    <w:qFormat/>
    <w:rsid w:val="00AA35A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6DDD"/>
    <w:pPr>
      <w:ind w:left="720"/>
      <w:contextualSpacing/>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39"/>
    <w:rsid w:val="00D658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B51F3"/>
    <w:pPr>
      <w:spacing w:after="0" w:line="240" w:lineRule="auto"/>
    </w:pPr>
  </w:style>
  <w:style w:type="paragraph" w:styleId="CommentSubject">
    <w:name w:val="annotation subject"/>
    <w:basedOn w:val="CommentText"/>
    <w:next w:val="CommentText"/>
    <w:link w:val="CommentSubjectChar"/>
    <w:uiPriority w:val="99"/>
    <w:semiHidden/>
    <w:unhideWhenUsed/>
    <w:rsid w:val="00B64D75"/>
    <w:rPr>
      <w:b/>
      <w:bCs/>
    </w:rPr>
  </w:style>
  <w:style w:type="character" w:customStyle="1" w:styleId="CommentSubjectChar">
    <w:name w:val="Comment Subject Char"/>
    <w:basedOn w:val="CommentTextChar"/>
    <w:link w:val="CommentSubject"/>
    <w:uiPriority w:val="99"/>
    <w:semiHidden/>
    <w:rsid w:val="00B64D75"/>
    <w:rPr>
      <w:b/>
      <w:bCs/>
      <w:sz w:val="20"/>
      <w:szCs w:val="20"/>
    </w:rPr>
  </w:style>
  <w:style w:type="paragraph" w:styleId="Caption">
    <w:name w:val="caption"/>
    <w:basedOn w:val="Normal"/>
    <w:next w:val="Normal"/>
    <w:uiPriority w:val="35"/>
    <w:unhideWhenUsed/>
    <w:qFormat/>
    <w:rsid w:val="00612068"/>
    <w:pPr>
      <w:spacing w:after="200" w:line="240" w:lineRule="auto"/>
    </w:pPr>
    <w:rPr>
      <w:b/>
      <w:iCs/>
      <w:szCs w:val="18"/>
    </w:rPr>
  </w:style>
  <w:style w:type="character" w:customStyle="1" w:styleId="Heading1Char">
    <w:name w:val="Heading 1 Char"/>
    <w:basedOn w:val="DefaultParagraphFont"/>
    <w:link w:val="Heading1"/>
    <w:uiPriority w:val="9"/>
    <w:rsid w:val="001F7D9A"/>
    <w:rPr>
      <w:rFonts w:eastAsiaTheme="majorEastAsia" w:cstheme="majorBidi"/>
      <w:b/>
      <w:caps/>
      <w:color w:val="1F3864" w:themeColor="accent1" w:themeShade="80"/>
      <w:szCs w:val="32"/>
    </w:rPr>
  </w:style>
  <w:style w:type="character" w:customStyle="1" w:styleId="Heading2Char">
    <w:name w:val="Heading 2 Char"/>
    <w:basedOn w:val="DefaultParagraphFont"/>
    <w:link w:val="Heading2"/>
    <w:uiPriority w:val="9"/>
    <w:rsid w:val="001F7D9A"/>
    <w:rPr>
      <w:rFonts w:eastAsiaTheme="majorEastAsia" w:cstheme="majorBidi"/>
      <w:b/>
      <w:i/>
      <w:szCs w:val="26"/>
    </w:rPr>
  </w:style>
  <w:style w:type="paragraph" w:styleId="Title">
    <w:name w:val="Title"/>
    <w:basedOn w:val="Normal"/>
    <w:next w:val="Normal"/>
    <w:link w:val="TitleChar"/>
    <w:uiPriority w:val="10"/>
    <w:qFormat/>
    <w:rsid w:val="001F7D9A"/>
    <w:pPr>
      <w:spacing w:after="0" w:line="240" w:lineRule="auto"/>
      <w:contextualSpacing/>
    </w:pPr>
    <w:rPr>
      <w:rFonts w:eastAsiaTheme="majorEastAsia" w:cstheme="majorBidi"/>
      <w:b/>
      <w:spacing w:val="-10"/>
      <w:kern w:val="28"/>
      <w:sz w:val="40"/>
      <w:szCs w:val="56"/>
    </w:rPr>
  </w:style>
  <w:style w:type="character" w:customStyle="1" w:styleId="TitleChar">
    <w:name w:val="Title Char"/>
    <w:basedOn w:val="DefaultParagraphFont"/>
    <w:link w:val="Title"/>
    <w:uiPriority w:val="10"/>
    <w:rsid w:val="001F7D9A"/>
    <w:rPr>
      <w:rFonts w:eastAsiaTheme="majorEastAsia" w:cstheme="majorBidi"/>
      <w:b/>
      <w:spacing w:val="-10"/>
      <w:kern w:val="28"/>
      <w:sz w:val="40"/>
      <w:szCs w:val="56"/>
    </w:rPr>
  </w:style>
  <w:style w:type="paragraph" w:customStyle="1" w:styleId="EndNoteBibliographyTitle">
    <w:name w:val="EndNote Bibliography Title"/>
    <w:basedOn w:val="Normal"/>
    <w:link w:val="EndNoteBibliographyTitleChar"/>
    <w:rsid w:val="00A3480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34806"/>
    <w:rPr>
      <w:rFonts w:ascii="Calibri" w:hAnsi="Calibri" w:cs="Calibri"/>
      <w:noProof/>
      <w:lang w:val="en-US"/>
    </w:rPr>
  </w:style>
  <w:style w:type="paragraph" w:customStyle="1" w:styleId="EndNoteBibliography">
    <w:name w:val="EndNote Bibliography"/>
    <w:basedOn w:val="Normal"/>
    <w:link w:val="EndNoteBibliographyChar"/>
    <w:rsid w:val="00A3480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34806"/>
    <w:rPr>
      <w:rFonts w:ascii="Calibri" w:hAnsi="Calibri" w:cs="Calibri"/>
      <w:noProof/>
      <w:lang w:val="en-US"/>
    </w:rPr>
  </w:style>
  <w:style w:type="character" w:styleId="Hyperlink">
    <w:name w:val="Hyperlink"/>
    <w:basedOn w:val="DefaultParagraphFont"/>
    <w:uiPriority w:val="99"/>
    <w:unhideWhenUsed/>
    <w:rsid w:val="00E6718D"/>
    <w:rPr>
      <w:color w:val="0563C1"/>
      <w:u w:val="single"/>
    </w:rPr>
  </w:style>
  <w:style w:type="paragraph" w:styleId="Header">
    <w:name w:val="header"/>
    <w:basedOn w:val="Normal"/>
    <w:link w:val="HeaderChar"/>
    <w:uiPriority w:val="99"/>
    <w:unhideWhenUsed/>
    <w:rsid w:val="00CD72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72DE"/>
  </w:style>
  <w:style w:type="paragraph" w:styleId="Footer">
    <w:name w:val="footer"/>
    <w:basedOn w:val="Normal"/>
    <w:link w:val="FooterChar"/>
    <w:uiPriority w:val="99"/>
    <w:unhideWhenUsed/>
    <w:rsid w:val="00CD72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72DE"/>
  </w:style>
  <w:style w:type="character" w:customStyle="1" w:styleId="Heading3Char">
    <w:name w:val="Heading 3 Char"/>
    <w:basedOn w:val="DefaultParagraphFont"/>
    <w:link w:val="Heading3"/>
    <w:uiPriority w:val="9"/>
    <w:semiHidden/>
    <w:rsid w:val="00AA35A7"/>
    <w:rPr>
      <w:rFonts w:asciiTheme="majorHAnsi" w:eastAsiaTheme="majorEastAsia" w:hAnsiTheme="majorHAnsi" w:cstheme="majorBidi"/>
      <w:color w:val="1F3763" w:themeColor="accent1" w:themeShade="7F"/>
      <w:sz w:val="24"/>
      <w:szCs w:val="24"/>
    </w:rPr>
  </w:style>
  <w:style w:type="character" w:styleId="Mention">
    <w:name w:val="Mention"/>
    <w:basedOn w:val="DefaultParagraphFont"/>
    <w:uiPriority w:val="99"/>
    <w:unhideWhenUsed/>
    <w:rsid w:val="007155B6"/>
    <w:rPr>
      <w:color w:val="2B579A"/>
      <w:shd w:val="clear" w:color="auto" w:fill="E1DFDD"/>
    </w:rPr>
  </w:style>
  <w:style w:type="character" w:styleId="UnresolvedMention">
    <w:name w:val="Unresolved Mention"/>
    <w:basedOn w:val="DefaultParagraphFont"/>
    <w:uiPriority w:val="99"/>
    <w:semiHidden/>
    <w:unhideWhenUsed/>
    <w:rsid w:val="006E7AD5"/>
    <w:rPr>
      <w:color w:val="605E5C"/>
      <w:shd w:val="clear" w:color="auto" w:fill="E1DFDD"/>
    </w:rPr>
  </w:style>
  <w:style w:type="paragraph" w:styleId="NormalWeb">
    <w:name w:val="Normal (Web)"/>
    <w:basedOn w:val="Normal"/>
    <w:uiPriority w:val="99"/>
    <w:unhideWhenUsed/>
    <w:rsid w:val="0019710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19710C"/>
    <w:rPr>
      <w:rFonts w:ascii="Segoe UI" w:hAnsi="Segoe UI" w:cs="Segoe UI" w:hint="default"/>
      <w:sz w:val="18"/>
      <w:szCs w:val="18"/>
    </w:rPr>
  </w:style>
  <w:style w:type="character" w:styleId="Emphasis">
    <w:name w:val="Emphasis"/>
    <w:basedOn w:val="DefaultParagraphFont"/>
    <w:uiPriority w:val="20"/>
    <w:qFormat/>
    <w:rsid w:val="0020221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000186">
      <w:bodyDiv w:val="1"/>
      <w:marLeft w:val="0"/>
      <w:marRight w:val="0"/>
      <w:marTop w:val="0"/>
      <w:marBottom w:val="0"/>
      <w:divBdr>
        <w:top w:val="none" w:sz="0" w:space="0" w:color="auto"/>
        <w:left w:val="none" w:sz="0" w:space="0" w:color="auto"/>
        <w:bottom w:val="none" w:sz="0" w:space="0" w:color="auto"/>
        <w:right w:val="none" w:sz="0" w:space="0" w:color="auto"/>
      </w:divBdr>
    </w:div>
    <w:div w:id="348797463">
      <w:bodyDiv w:val="1"/>
      <w:marLeft w:val="0"/>
      <w:marRight w:val="0"/>
      <w:marTop w:val="0"/>
      <w:marBottom w:val="0"/>
      <w:divBdr>
        <w:top w:val="none" w:sz="0" w:space="0" w:color="auto"/>
        <w:left w:val="none" w:sz="0" w:space="0" w:color="auto"/>
        <w:bottom w:val="none" w:sz="0" w:space="0" w:color="auto"/>
        <w:right w:val="none" w:sz="0" w:space="0" w:color="auto"/>
      </w:divBdr>
    </w:div>
    <w:div w:id="413478299">
      <w:bodyDiv w:val="1"/>
      <w:marLeft w:val="0"/>
      <w:marRight w:val="0"/>
      <w:marTop w:val="0"/>
      <w:marBottom w:val="0"/>
      <w:divBdr>
        <w:top w:val="none" w:sz="0" w:space="0" w:color="auto"/>
        <w:left w:val="none" w:sz="0" w:space="0" w:color="auto"/>
        <w:bottom w:val="none" w:sz="0" w:space="0" w:color="auto"/>
        <w:right w:val="none" w:sz="0" w:space="0" w:color="auto"/>
      </w:divBdr>
    </w:div>
    <w:div w:id="480118476">
      <w:bodyDiv w:val="1"/>
      <w:marLeft w:val="0"/>
      <w:marRight w:val="0"/>
      <w:marTop w:val="0"/>
      <w:marBottom w:val="0"/>
      <w:divBdr>
        <w:top w:val="none" w:sz="0" w:space="0" w:color="auto"/>
        <w:left w:val="none" w:sz="0" w:space="0" w:color="auto"/>
        <w:bottom w:val="none" w:sz="0" w:space="0" w:color="auto"/>
        <w:right w:val="none" w:sz="0" w:space="0" w:color="auto"/>
      </w:divBdr>
    </w:div>
    <w:div w:id="700206112">
      <w:bodyDiv w:val="1"/>
      <w:marLeft w:val="0"/>
      <w:marRight w:val="0"/>
      <w:marTop w:val="0"/>
      <w:marBottom w:val="0"/>
      <w:divBdr>
        <w:top w:val="none" w:sz="0" w:space="0" w:color="auto"/>
        <w:left w:val="none" w:sz="0" w:space="0" w:color="auto"/>
        <w:bottom w:val="none" w:sz="0" w:space="0" w:color="auto"/>
        <w:right w:val="none" w:sz="0" w:space="0" w:color="auto"/>
      </w:divBdr>
    </w:div>
    <w:div w:id="855198113">
      <w:bodyDiv w:val="1"/>
      <w:marLeft w:val="0"/>
      <w:marRight w:val="0"/>
      <w:marTop w:val="0"/>
      <w:marBottom w:val="0"/>
      <w:divBdr>
        <w:top w:val="none" w:sz="0" w:space="0" w:color="auto"/>
        <w:left w:val="none" w:sz="0" w:space="0" w:color="auto"/>
        <w:bottom w:val="none" w:sz="0" w:space="0" w:color="auto"/>
        <w:right w:val="none" w:sz="0" w:space="0" w:color="auto"/>
      </w:divBdr>
    </w:div>
    <w:div w:id="1114522970">
      <w:bodyDiv w:val="1"/>
      <w:marLeft w:val="0"/>
      <w:marRight w:val="0"/>
      <w:marTop w:val="0"/>
      <w:marBottom w:val="0"/>
      <w:divBdr>
        <w:top w:val="none" w:sz="0" w:space="0" w:color="auto"/>
        <w:left w:val="none" w:sz="0" w:space="0" w:color="auto"/>
        <w:bottom w:val="none" w:sz="0" w:space="0" w:color="auto"/>
        <w:right w:val="none" w:sz="0" w:space="0" w:color="auto"/>
      </w:divBdr>
    </w:div>
    <w:div w:id="1130710328">
      <w:bodyDiv w:val="1"/>
      <w:marLeft w:val="0"/>
      <w:marRight w:val="0"/>
      <w:marTop w:val="0"/>
      <w:marBottom w:val="0"/>
      <w:divBdr>
        <w:top w:val="none" w:sz="0" w:space="0" w:color="auto"/>
        <w:left w:val="none" w:sz="0" w:space="0" w:color="auto"/>
        <w:bottom w:val="none" w:sz="0" w:space="0" w:color="auto"/>
        <w:right w:val="none" w:sz="0" w:space="0" w:color="auto"/>
      </w:divBdr>
    </w:div>
    <w:div w:id="1173765063">
      <w:bodyDiv w:val="1"/>
      <w:marLeft w:val="0"/>
      <w:marRight w:val="0"/>
      <w:marTop w:val="0"/>
      <w:marBottom w:val="0"/>
      <w:divBdr>
        <w:top w:val="none" w:sz="0" w:space="0" w:color="auto"/>
        <w:left w:val="none" w:sz="0" w:space="0" w:color="auto"/>
        <w:bottom w:val="none" w:sz="0" w:space="0" w:color="auto"/>
        <w:right w:val="none" w:sz="0" w:space="0" w:color="auto"/>
      </w:divBdr>
    </w:div>
    <w:div w:id="1290361086">
      <w:bodyDiv w:val="1"/>
      <w:marLeft w:val="0"/>
      <w:marRight w:val="0"/>
      <w:marTop w:val="0"/>
      <w:marBottom w:val="0"/>
      <w:divBdr>
        <w:top w:val="none" w:sz="0" w:space="0" w:color="auto"/>
        <w:left w:val="none" w:sz="0" w:space="0" w:color="auto"/>
        <w:bottom w:val="none" w:sz="0" w:space="0" w:color="auto"/>
        <w:right w:val="none" w:sz="0" w:space="0" w:color="auto"/>
      </w:divBdr>
    </w:div>
    <w:div w:id="1350254970">
      <w:bodyDiv w:val="1"/>
      <w:marLeft w:val="0"/>
      <w:marRight w:val="0"/>
      <w:marTop w:val="0"/>
      <w:marBottom w:val="0"/>
      <w:divBdr>
        <w:top w:val="none" w:sz="0" w:space="0" w:color="auto"/>
        <w:left w:val="none" w:sz="0" w:space="0" w:color="auto"/>
        <w:bottom w:val="none" w:sz="0" w:space="0" w:color="auto"/>
        <w:right w:val="none" w:sz="0" w:space="0" w:color="auto"/>
      </w:divBdr>
    </w:div>
    <w:div w:id="1570074932">
      <w:bodyDiv w:val="1"/>
      <w:marLeft w:val="0"/>
      <w:marRight w:val="0"/>
      <w:marTop w:val="0"/>
      <w:marBottom w:val="0"/>
      <w:divBdr>
        <w:top w:val="none" w:sz="0" w:space="0" w:color="auto"/>
        <w:left w:val="none" w:sz="0" w:space="0" w:color="auto"/>
        <w:bottom w:val="none" w:sz="0" w:space="0" w:color="auto"/>
        <w:right w:val="none" w:sz="0" w:space="0" w:color="auto"/>
      </w:divBdr>
      <w:divsChild>
        <w:div w:id="67115256">
          <w:marLeft w:val="274"/>
          <w:marRight w:val="0"/>
          <w:marTop w:val="0"/>
          <w:marBottom w:val="60"/>
          <w:divBdr>
            <w:top w:val="none" w:sz="0" w:space="0" w:color="auto"/>
            <w:left w:val="none" w:sz="0" w:space="0" w:color="auto"/>
            <w:bottom w:val="none" w:sz="0" w:space="0" w:color="auto"/>
            <w:right w:val="none" w:sz="0" w:space="0" w:color="auto"/>
          </w:divBdr>
        </w:div>
        <w:div w:id="1089809244">
          <w:marLeft w:val="274"/>
          <w:marRight w:val="0"/>
          <w:marTop w:val="0"/>
          <w:marBottom w:val="60"/>
          <w:divBdr>
            <w:top w:val="none" w:sz="0" w:space="0" w:color="auto"/>
            <w:left w:val="none" w:sz="0" w:space="0" w:color="auto"/>
            <w:bottom w:val="none" w:sz="0" w:space="0" w:color="auto"/>
            <w:right w:val="none" w:sz="0" w:space="0" w:color="auto"/>
          </w:divBdr>
        </w:div>
        <w:div w:id="1136096136">
          <w:marLeft w:val="274"/>
          <w:marRight w:val="0"/>
          <w:marTop w:val="0"/>
          <w:marBottom w:val="60"/>
          <w:divBdr>
            <w:top w:val="none" w:sz="0" w:space="0" w:color="auto"/>
            <w:left w:val="none" w:sz="0" w:space="0" w:color="auto"/>
            <w:bottom w:val="none" w:sz="0" w:space="0" w:color="auto"/>
            <w:right w:val="none" w:sz="0" w:space="0" w:color="auto"/>
          </w:divBdr>
        </w:div>
        <w:div w:id="1380127957">
          <w:marLeft w:val="274"/>
          <w:marRight w:val="0"/>
          <w:marTop w:val="0"/>
          <w:marBottom w:val="60"/>
          <w:divBdr>
            <w:top w:val="none" w:sz="0" w:space="0" w:color="auto"/>
            <w:left w:val="none" w:sz="0" w:space="0" w:color="auto"/>
            <w:bottom w:val="none" w:sz="0" w:space="0" w:color="auto"/>
            <w:right w:val="none" w:sz="0" w:space="0" w:color="auto"/>
          </w:divBdr>
        </w:div>
        <w:div w:id="1512918198">
          <w:marLeft w:val="274"/>
          <w:marRight w:val="0"/>
          <w:marTop w:val="0"/>
          <w:marBottom w:val="60"/>
          <w:divBdr>
            <w:top w:val="none" w:sz="0" w:space="0" w:color="auto"/>
            <w:left w:val="none" w:sz="0" w:space="0" w:color="auto"/>
            <w:bottom w:val="none" w:sz="0" w:space="0" w:color="auto"/>
            <w:right w:val="none" w:sz="0" w:space="0" w:color="auto"/>
          </w:divBdr>
        </w:div>
        <w:div w:id="1896239293">
          <w:marLeft w:val="274"/>
          <w:marRight w:val="0"/>
          <w:marTop w:val="0"/>
          <w:marBottom w:val="60"/>
          <w:divBdr>
            <w:top w:val="none" w:sz="0" w:space="0" w:color="auto"/>
            <w:left w:val="none" w:sz="0" w:space="0" w:color="auto"/>
            <w:bottom w:val="none" w:sz="0" w:space="0" w:color="auto"/>
            <w:right w:val="none" w:sz="0" w:space="0" w:color="auto"/>
          </w:divBdr>
        </w:div>
      </w:divsChild>
    </w:div>
    <w:div w:id="1740397433">
      <w:bodyDiv w:val="1"/>
      <w:marLeft w:val="0"/>
      <w:marRight w:val="0"/>
      <w:marTop w:val="0"/>
      <w:marBottom w:val="0"/>
      <w:divBdr>
        <w:top w:val="none" w:sz="0" w:space="0" w:color="auto"/>
        <w:left w:val="none" w:sz="0" w:space="0" w:color="auto"/>
        <w:bottom w:val="none" w:sz="0" w:space="0" w:color="auto"/>
        <w:right w:val="none" w:sz="0" w:space="0" w:color="auto"/>
      </w:divBdr>
    </w:div>
    <w:div w:id="193570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documenttasks/documenttasks1.xml><?xml version="1.0" encoding="utf-8"?>
<t:Tasks xmlns:t="http://schemas.microsoft.com/office/tasks/2019/documenttasks" xmlns:oel="http://schemas.microsoft.com/office/2019/extlst">
  <t:Task id="{637497A5-7DB7-4292-A04B-66644613EF99}">
    <t:Anchor>
      <t:Comment id="1904521139"/>
    </t:Anchor>
    <t:History>
      <t:Event id="{0202F8F8-EEC3-476A-B8B8-2DC7694FECCE}" time="2022-08-09T06:56:35.514Z">
        <t:Attribution userId="S::laura.gurskyte@cytel.com::b1fd393b-07e8-44d3-9c4b-bed3a841c5ea" userProvider="AD" userName="Laura Gurskyte"/>
        <t:Anchor>
          <t:Comment id="1904521139"/>
        </t:Anchor>
        <t:Create/>
      </t:Event>
      <t:Event id="{E108A2B6-0C7A-4E2D-BAA3-C71A316FD629}" time="2022-08-09T06:56:35.514Z">
        <t:Attribution userId="S::laura.gurskyte@cytel.com::b1fd393b-07e8-44d3-9c4b-bed3a841c5ea" userProvider="AD" userName="Laura Gurskyte"/>
        <t:Anchor>
          <t:Comment id="1904521139"/>
        </t:Anchor>
        <t:Assign userId="S::andreas.freitag@cytel.com::0de09cb1-634e-4d51-b81c-c1aa451c92a9" userProvider="AD" userName="Andreas Freitag"/>
      </t:Event>
      <t:Event id="{1856BEE0-95D9-4C9A-A2BD-703C8F49A299}" time="2022-08-09T06:56:35.514Z">
        <t:Attribution userId="S::laura.gurskyte@cytel.com::b1fd393b-07e8-44d3-9c4b-bed3a841c5ea" userProvider="AD" userName="Laura Gurskyte"/>
        <t:Anchor>
          <t:Comment id="1904521139"/>
        </t:Anchor>
        <t:SetTitle title="@Andreas Freitag , i looked through the text and i can shorten it in some cases, but do you agree with me to merge EM and PV columns into one? since in the text it has already been explained that EM might sometimes be named &quot;PV&quot; and vice versa. We jus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4" ma:contentTypeDescription="Create a new document." ma:contentTypeScope="" ma:versionID="204405d1fb1341d8631dd61eec1af1f4">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801ba59ea166f12a2f0316f161719c26"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c3c43cf-186b-4613-84b4-a4ff23217b56">
      <UserInfo>
        <DisplayName>Grammati Sarri</DisplayName>
        <AccountId>5136</AccountId>
        <AccountType/>
      </UserInfo>
    </SharedWithUsers>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670D68-A1FB-4C34-B2B1-1961B6110333}"/>
</file>

<file path=customXml/itemProps2.xml><?xml version="1.0" encoding="utf-8"?>
<ds:datastoreItem xmlns:ds="http://schemas.openxmlformats.org/officeDocument/2006/customXml" ds:itemID="{5722E408-0AAC-46FA-B330-3A327024CA89}">
  <ds:schemaRefs>
    <ds:schemaRef ds:uri="http://schemas.microsoft.com/sharepoint/v3/contenttype/forms"/>
  </ds:schemaRefs>
</ds:datastoreItem>
</file>

<file path=customXml/itemProps3.xml><?xml version="1.0" encoding="utf-8"?>
<ds:datastoreItem xmlns:ds="http://schemas.openxmlformats.org/officeDocument/2006/customXml" ds:itemID="{E19DB89C-A63E-4F77-840B-41E95791C5C8}">
  <ds:schemaRefs>
    <ds:schemaRef ds:uri="http://schemas.microsoft.com/office/2006/metadata/properties"/>
    <ds:schemaRef ds:uri="http://schemas.microsoft.com/office/infopath/2007/PartnerControls"/>
    <ds:schemaRef ds:uri="3a2d7842-21e3-476b-8c8e-c629612dfdd5"/>
  </ds:schemaRefs>
</ds:datastoreItem>
</file>

<file path=customXml/itemProps4.xml><?xml version="1.0" encoding="utf-8"?>
<ds:datastoreItem xmlns:ds="http://schemas.openxmlformats.org/officeDocument/2006/customXml" ds:itemID="{5D4DCA04-8783-49F7-8671-D60DD4336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3912</Words>
  <Characters>22304</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26164</CharactersWithSpaces>
  <SharedDoc>false</SharedDoc>
  <HLinks>
    <vt:vector size="396" baseType="variant">
      <vt:variant>
        <vt:i4>196626</vt:i4>
      </vt:variant>
      <vt:variant>
        <vt:i4>641</vt:i4>
      </vt:variant>
      <vt:variant>
        <vt:i4>0</vt:i4>
      </vt:variant>
      <vt:variant>
        <vt:i4>5</vt:i4>
      </vt:variant>
      <vt:variant>
        <vt:lpwstr>https://www.cadth.ca/bimekizumab</vt:lpwstr>
      </vt:variant>
      <vt:variant>
        <vt:lpwstr/>
      </vt:variant>
      <vt:variant>
        <vt:i4>4325388</vt:i4>
      </vt:variant>
      <vt:variant>
        <vt:i4>638</vt:i4>
      </vt:variant>
      <vt:variant>
        <vt:i4>0</vt:i4>
      </vt:variant>
      <vt:variant>
        <vt:i4>5</vt:i4>
      </vt:variant>
      <vt:variant>
        <vt:lpwstr>https://www.cadth.ca/halobetasol-propionate-and-tazarotene-0</vt:lpwstr>
      </vt:variant>
      <vt:variant>
        <vt:lpwstr/>
      </vt:variant>
      <vt:variant>
        <vt:i4>6684786</vt:i4>
      </vt:variant>
      <vt:variant>
        <vt:i4>635</vt:i4>
      </vt:variant>
      <vt:variant>
        <vt:i4>0</vt:i4>
      </vt:variant>
      <vt:variant>
        <vt:i4>5</vt:i4>
      </vt:variant>
      <vt:variant>
        <vt:lpwstr>https://www.cadth.ca/tildrakizumab</vt:lpwstr>
      </vt:variant>
      <vt:variant>
        <vt:lpwstr/>
      </vt:variant>
      <vt:variant>
        <vt:i4>23</vt:i4>
      </vt:variant>
      <vt:variant>
        <vt:i4>632</vt:i4>
      </vt:variant>
      <vt:variant>
        <vt:i4>0</vt:i4>
      </vt:variant>
      <vt:variant>
        <vt:i4>5</vt:i4>
      </vt:variant>
      <vt:variant>
        <vt:lpwstr>https://www.cadth.ca/risankizumab</vt:lpwstr>
      </vt:variant>
      <vt:variant>
        <vt:lpwstr/>
      </vt:variant>
      <vt:variant>
        <vt:i4>8257653</vt:i4>
      </vt:variant>
      <vt:variant>
        <vt:i4>629</vt:i4>
      </vt:variant>
      <vt:variant>
        <vt:i4>0</vt:i4>
      </vt:variant>
      <vt:variant>
        <vt:i4>5</vt:i4>
      </vt:variant>
      <vt:variant>
        <vt:lpwstr>https://www.cadth.ca/guselkumab</vt:lpwstr>
      </vt:variant>
      <vt:variant>
        <vt:lpwstr/>
      </vt:variant>
      <vt:variant>
        <vt:i4>8060965</vt:i4>
      </vt:variant>
      <vt:variant>
        <vt:i4>626</vt:i4>
      </vt:variant>
      <vt:variant>
        <vt:i4>0</vt:i4>
      </vt:variant>
      <vt:variant>
        <vt:i4>5</vt:i4>
      </vt:variant>
      <vt:variant>
        <vt:lpwstr>https://www.nice.org.uk/guidance/ta734</vt:lpwstr>
      </vt:variant>
      <vt:variant>
        <vt:lpwstr/>
      </vt:variant>
      <vt:variant>
        <vt:i4>8060975</vt:i4>
      </vt:variant>
      <vt:variant>
        <vt:i4>623</vt:i4>
      </vt:variant>
      <vt:variant>
        <vt:i4>0</vt:i4>
      </vt:variant>
      <vt:variant>
        <vt:i4>5</vt:i4>
      </vt:variant>
      <vt:variant>
        <vt:lpwstr>https://www.nice.org.uk/guidance/ta596</vt:lpwstr>
      </vt:variant>
      <vt:variant>
        <vt:lpwstr/>
      </vt:variant>
      <vt:variant>
        <vt:i4>7864353</vt:i4>
      </vt:variant>
      <vt:variant>
        <vt:i4>620</vt:i4>
      </vt:variant>
      <vt:variant>
        <vt:i4>0</vt:i4>
      </vt:variant>
      <vt:variant>
        <vt:i4>5</vt:i4>
      </vt:variant>
      <vt:variant>
        <vt:lpwstr>https://www.nice.org.uk/guidance/ta575</vt:lpwstr>
      </vt:variant>
      <vt:variant>
        <vt:lpwstr/>
      </vt:variant>
      <vt:variant>
        <vt:i4>7929889</vt:i4>
      </vt:variant>
      <vt:variant>
        <vt:i4>617</vt:i4>
      </vt:variant>
      <vt:variant>
        <vt:i4>0</vt:i4>
      </vt:variant>
      <vt:variant>
        <vt:i4>5</vt:i4>
      </vt:variant>
      <vt:variant>
        <vt:lpwstr>https://www.nice.org.uk/guidance/ta574</vt:lpwstr>
      </vt:variant>
      <vt:variant>
        <vt:lpwstr/>
      </vt:variant>
      <vt:variant>
        <vt:i4>8126500</vt:i4>
      </vt:variant>
      <vt:variant>
        <vt:i4>614</vt:i4>
      </vt:variant>
      <vt:variant>
        <vt:i4>0</vt:i4>
      </vt:variant>
      <vt:variant>
        <vt:i4>5</vt:i4>
      </vt:variant>
      <vt:variant>
        <vt:lpwstr>https://www.nice.org.uk/guidance/ta521</vt:lpwstr>
      </vt:variant>
      <vt:variant>
        <vt:lpwstr/>
      </vt:variant>
      <vt:variant>
        <vt:i4>8126503</vt:i4>
      </vt:variant>
      <vt:variant>
        <vt:i4>611</vt:i4>
      </vt:variant>
      <vt:variant>
        <vt:i4>0</vt:i4>
      </vt:variant>
      <vt:variant>
        <vt:i4>5</vt:i4>
      </vt:variant>
      <vt:variant>
        <vt:lpwstr>https://www.nice.org.uk/guidance/ta511</vt:lpwstr>
      </vt:variant>
      <vt:variant>
        <vt:lpwstr/>
      </vt:variant>
      <vt:variant>
        <vt:i4>7929889</vt:i4>
      </vt:variant>
      <vt:variant>
        <vt:i4>608</vt:i4>
      </vt:variant>
      <vt:variant>
        <vt:i4>0</vt:i4>
      </vt:variant>
      <vt:variant>
        <vt:i4>5</vt:i4>
      </vt:variant>
      <vt:variant>
        <vt:lpwstr>https://www.nice.org.uk/guidance/ta475</vt:lpwstr>
      </vt:variant>
      <vt:variant>
        <vt:lpwstr/>
      </vt:variant>
      <vt:variant>
        <vt:i4>7929891</vt:i4>
      </vt:variant>
      <vt:variant>
        <vt:i4>605</vt:i4>
      </vt:variant>
      <vt:variant>
        <vt:i4>0</vt:i4>
      </vt:variant>
      <vt:variant>
        <vt:i4>5</vt:i4>
      </vt:variant>
      <vt:variant>
        <vt:lpwstr>https://www.nice.org.uk/guidance/ta455</vt:lpwstr>
      </vt:variant>
      <vt:variant>
        <vt:lpwstr/>
      </vt:variant>
      <vt:variant>
        <vt:i4>8257570</vt:i4>
      </vt:variant>
      <vt:variant>
        <vt:i4>602</vt:i4>
      </vt:variant>
      <vt:variant>
        <vt:i4>0</vt:i4>
      </vt:variant>
      <vt:variant>
        <vt:i4>5</vt:i4>
      </vt:variant>
      <vt:variant>
        <vt:lpwstr>https://www.nice.org.uk/guidance/ta442</vt:lpwstr>
      </vt:variant>
      <vt:variant>
        <vt:lpwstr/>
      </vt:variant>
      <vt:variant>
        <vt:i4>524312</vt:i4>
      </vt:variant>
      <vt:variant>
        <vt:i4>599</vt:i4>
      </vt:variant>
      <vt:variant>
        <vt:i4>0</vt:i4>
      </vt:variant>
      <vt:variant>
        <vt:i4>5</vt:i4>
      </vt:variant>
      <vt:variant>
        <vt:lpwstr>https://www.cadth.ca/pralsetinib</vt:lpwstr>
      </vt:variant>
      <vt:variant>
        <vt:lpwstr/>
      </vt:variant>
      <vt:variant>
        <vt:i4>7536741</vt:i4>
      </vt:variant>
      <vt:variant>
        <vt:i4>596</vt:i4>
      </vt:variant>
      <vt:variant>
        <vt:i4>0</vt:i4>
      </vt:variant>
      <vt:variant>
        <vt:i4>5</vt:i4>
      </vt:variant>
      <vt:variant>
        <vt:lpwstr>https://www.cadth.ca/selpercatinib</vt:lpwstr>
      </vt:variant>
      <vt:variant>
        <vt:lpwstr/>
      </vt:variant>
      <vt:variant>
        <vt:i4>7209065</vt:i4>
      </vt:variant>
      <vt:variant>
        <vt:i4>593</vt:i4>
      </vt:variant>
      <vt:variant>
        <vt:i4>0</vt:i4>
      </vt:variant>
      <vt:variant>
        <vt:i4>5</vt:i4>
      </vt:variant>
      <vt:variant>
        <vt:lpwstr>https://www.cadth.ca/tepotinib</vt:lpwstr>
      </vt:variant>
      <vt:variant>
        <vt:lpwstr/>
      </vt:variant>
      <vt:variant>
        <vt:i4>7143546</vt:i4>
      </vt:variant>
      <vt:variant>
        <vt:i4>590</vt:i4>
      </vt:variant>
      <vt:variant>
        <vt:i4>0</vt:i4>
      </vt:variant>
      <vt:variant>
        <vt:i4>5</vt:i4>
      </vt:variant>
      <vt:variant>
        <vt:lpwstr>https://www.cadth.ca/lorlatinib</vt:lpwstr>
      </vt:variant>
      <vt:variant>
        <vt:lpwstr/>
      </vt:variant>
      <vt:variant>
        <vt:i4>2883709</vt:i4>
      </vt:variant>
      <vt:variant>
        <vt:i4>587</vt:i4>
      </vt:variant>
      <vt:variant>
        <vt:i4>0</vt:i4>
      </vt:variant>
      <vt:variant>
        <vt:i4>5</vt:i4>
      </vt:variant>
      <vt:variant>
        <vt:lpwstr>https://www.cadth.ca/brigatinib-alunbrig-anaplastic-lymphoma-kinase-positive-non-small-cell-lung-cancer-details</vt:lpwstr>
      </vt:variant>
      <vt:variant>
        <vt:lpwstr/>
      </vt:variant>
      <vt:variant>
        <vt:i4>1507408</vt:i4>
      </vt:variant>
      <vt:variant>
        <vt:i4>584</vt:i4>
      </vt:variant>
      <vt:variant>
        <vt:i4>0</vt:i4>
      </vt:variant>
      <vt:variant>
        <vt:i4>5</vt:i4>
      </vt:variant>
      <vt:variant>
        <vt:lpwstr>https://www.cadth.ca/dabrafenib-and-trametinib-non-small-cell-lung-cancer-braf-v600-mutation</vt:lpwstr>
      </vt:variant>
      <vt:variant>
        <vt:lpwstr/>
      </vt:variant>
      <vt:variant>
        <vt:i4>720961</vt:i4>
      </vt:variant>
      <vt:variant>
        <vt:i4>581</vt:i4>
      </vt:variant>
      <vt:variant>
        <vt:i4>0</vt:i4>
      </vt:variant>
      <vt:variant>
        <vt:i4>5</vt:i4>
      </vt:variant>
      <vt:variant>
        <vt:lpwstr>https://www.cadth.ca/nivolumab-ipilimumab-non-small-cell-lung-cancer-details</vt:lpwstr>
      </vt:variant>
      <vt:variant>
        <vt:lpwstr/>
      </vt:variant>
      <vt:variant>
        <vt:i4>7733302</vt:i4>
      </vt:variant>
      <vt:variant>
        <vt:i4>578</vt:i4>
      </vt:variant>
      <vt:variant>
        <vt:i4>0</vt:i4>
      </vt:variant>
      <vt:variant>
        <vt:i4>5</vt:i4>
      </vt:variant>
      <vt:variant>
        <vt:lpwstr>https://www.cadth.ca/entrectinib-rozlytrek-ros1-positive-non-small-cell-lung-cancer</vt:lpwstr>
      </vt:variant>
      <vt:variant>
        <vt:lpwstr/>
      </vt:variant>
      <vt:variant>
        <vt:i4>2752630</vt:i4>
      </vt:variant>
      <vt:variant>
        <vt:i4>575</vt:i4>
      </vt:variant>
      <vt:variant>
        <vt:i4>0</vt:i4>
      </vt:variant>
      <vt:variant>
        <vt:i4>5</vt:i4>
      </vt:variant>
      <vt:variant>
        <vt:lpwstr>https://www.cadth.ca/lorlatinib-lorbrena-non-small-cell-lung-cancer-details</vt:lpwstr>
      </vt:variant>
      <vt:variant>
        <vt:lpwstr/>
      </vt:variant>
      <vt:variant>
        <vt:i4>5439503</vt:i4>
      </vt:variant>
      <vt:variant>
        <vt:i4>572</vt:i4>
      </vt:variant>
      <vt:variant>
        <vt:i4>0</vt:i4>
      </vt:variant>
      <vt:variant>
        <vt:i4>5</vt:i4>
      </vt:variant>
      <vt:variant>
        <vt:lpwstr>https://www.cadth.ca/keytruda-squamous-nsclc-details</vt:lpwstr>
      </vt:variant>
      <vt:variant>
        <vt:lpwstr/>
      </vt:variant>
      <vt:variant>
        <vt:i4>1245203</vt:i4>
      </vt:variant>
      <vt:variant>
        <vt:i4>569</vt:i4>
      </vt:variant>
      <vt:variant>
        <vt:i4>0</vt:i4>
      </vt:variant>
      <vt:variant>
        <vt:i4>5</vt:i4>
      </vt:variant>
      <vt:variant>
        <vt:lpwstr>https://www.cadth.ca/brigatinib-alunbrig-non-small-cell-lung-cancer-nsclc-details</vt:lpwstr>
      </vt:variant>
      <vt:variant>
        <vt:lpwstr/>
      </vt:variant>
      <vt:variant>
        <vt:i4>7536703</vt:i4>
      </vt:variant>
      <vt:variant>
        <vt:i4>566</vt:i4>
      </vt:variant>
      <vt:variant>
        <vt:i4>0</vt:i4>
      </vt:variant>
      <vt:variant>
        <vt:i4>5</vt:i4>
      </vt:variant>
      <vt:variant>
        <vt:lpwstr>https://www.cadth.ca/tecentriq-avastin-non-squamous-non-small-cell-lung-cancer-details</vt:lpwstr>
      </vt:variant>
      <vt:variant>
        <vt:lpwstr/>
      </vt:variant>
      <vt:variant>
        <vt:i4>1114127</vt:i4>
      </vt:variant>
      <vt:variant>
        <vt:i4>563</vt:i4>
      </vt:variant>
      <vt:variant>
        <vt:i4>0</vt:i4>
      </vt:variant>
      <vt:variant>
        <vt:i4>5</vt:i4>
      </vt:variant>
      <vt:variant>
        <vt:lpwstr>https://www.cadth.ca/keytruda-non-squamous-nsclc-details</vt:lpwstr>
      </vt:variant>
      <vt:variant>
        <vt:lpwstr/>
      </vt:variant>
      <vt:variant>
        <vt:i4>2687013</vt:i4>
      </vt:variant>
      <vt:variant>
        <vt:i4>560</vt:i4>
      </vt:variant>
      <vt:variant>
        <vt:i4>0</vt:i4>
      </vt:variant>
      <vt:variant>
        <vt:i4>5</vt:i4>
      </vt:variant>
      <vt:variant>
        <vt:lpwstr>https://www.cadth.ca/tagrisso-non-small-cell-lung-cancer-first-line-details</vt:lpwstr>
      </vt:variant>
      <vt:variant>
        <vt:lpwstr/>
      </vt:variant>
      <vt:variant>
        <vt:i4>1966111</vt:i4>
      </vt:variant>
      <vt:variant>
        <vt:i4>557</vt:i4>
      </vt:variant>
      <vt:variant>
        <vt:i4>0</vt:i4>
      </vt:variant>
      <vt:variant>
        <vt:i4>5</vt:i4>
      </vt:variant>
      <vt:variant>
        <vt:lpwstr>https://www.cadth.ca/vizimpro-non-small-cell-lung-cancer-details</vt:lpwstr>
      </vt:variant>
      <vt:variant>
        <vt:lpwstr/>
      </vt:variant>
      <vt:variant>
        <vt:i4>720914</vt:i4>
      </vt:variant>
      <vt:variant>
        <vt:i4>554</vt:i4>
      </vt:variant>
      <vt:variant>
        <vt:i4>0</vt:i4>
      </vt:variant>
      <vt:variant>
        <vt:i4>5</vt:i4>
      </vt:variant>
      <vt:variant>
        <vt:lpwstr>https://www.cadth.ca/tecentriq-non-small-cell-lung-cancer-details</vt:lpwstr>
      </vt:variant>
      <vt:variant>
        <vt:lpwstr/>
      </vt:variant>
      <vt:variant>
        <vt:i4>1376260</vt:i4>
      </vt:variant>
      <vt:variant>
        <vt:i4>551</vt:i4>
      </vt:variant>
      <vt:variant>
        <vt:i4>0</vt:i4>
      </vt:variant>
      <vt:variant>
        <vt:i4>5</vt:i4>
      </vt:variant>
      <vt:variant>
        <vt:lpwstr>https://www.cadth.ca/alecensaro-locally-advanced-or-metastatic-non-small-cell-lung-cancer-second-line-details</vt:lpwstr>
      </vt:variant>
      <vt:variant>
        <vt:lpwstr/>
      </vt:variant>
      <vt:variant>
        <vt:i4>3211298</vt:i4>
      </vt:variant>
      <vt:variant>
        <vt:i4>548</vt:i4>
      </vt:variant>
      <vt:variant>
        <vt:i4>0</vt:i4>
      </vt:variant>
      <vt:variant>
        <vt:i4>5</vt:i4>
      </vt:variant>
      <vt:variant>
        <vt:lpwstr>https://www.cadth.ca/tafinlar-mekinist-combo-non-small-cell-lung-cancer-details</vt:lpwstr>
      </vt:variant>
      <vt:variant>
        <vt:lpwstr/>
      </vt:variant>
      <vt:variant>
        <vt:i4>7667747</vt:i4>
      </vt:variant>
      <vt:variant>
        <vt:i4>545</vt:i4>
      </vt:variant>
      <vt:variant>
        <vt:i4>0</vt:i4>
      </vt:variant>
      <vt:variant>
        <vt:i4>5</vt:i4>
      </vt:variant>
      <vt:variant>
        <vt:lpwstr>https://www.nice.org.uk/guidance/ta855</vt:lpwstr>
      </vt:variant>
      <vt:variant>
        <vt:lpwstr/>
      </vt:variant>
      <vt:variant>
        <vt:i4>7471143</vt:i4>
      </vt:variant>
      <vt:variant>
        <vt:i4>542</vt:i4>
      </vt:variant>
      <vt:variant>
        <vt:i4>0</vt:i4>
      </vt:variant>
      <vt:variant>
        <vt:i4>5</vt:i4>
      </vt:variant>
      <vt:variant>
        <vt:lpwstr>https://www.nice.org.uk/guidance/ta812</vt:lpwstr>
      </vt:variant>
      <vt:variant>
        <vt:lpwstr/>
      </vt:variant>
      <vt:variant>
        <vt:i4>7733294</vt:i4>
      </vt:variant>
      <vt:variant>
        <vt:i4>539</vt:i4>
      </vt:variant>
      <vt:variant>
        <vt:i4>0</vt:i4>
      </vt:variant>
      <vt:variant>
        <vt:i4>5</vt:i4>
      </vt:variant>
      <vt:variant>
        <vt:lpwstr>https://www.nice.org.uk/guidance/ta789</vt:lpwstr>
      </vt:variant>
      <vt:variant>
        <vt:lpwstr/>
      </vt:variant>
      <vt:variant>
        <vt:i4>8257582</vt:i4>
      </vt:variant>
      <vt:variant>
        <vt:i4>536</vt:i4>
      </vt:variant>
      <vt:variant>
        <vt:i4>0</vt:i4>
      </vt:variant>
      <vt:variant>
        <vt:i4>5</vt:i4>
      </vt:variant>
      <vt:variant>
        <vt:lpwstr>https://www.nice.org.uk/guidance/ta781</vt:lpwstr>
      </vt:variant>
      <vt:variant>
        <vt:lpwstr/>
      </vt:variant>
      <vt:variant>
        <vt:i4>8323105</vt:i4>
      </vt:variant>
      <vt:variant>
        <vt:i4>533</vt:i4>
      </vt:variant>
      <vt:variant>
        <vt:i4>0</vt:i4>
      </vt:variant>
      <vt:variant>
        <vt:i4>5</vt:i4>
      </vt:variant>
      <vt:variant>
        <vt:lpwstr>https://www.nice.org.uk/guidance/ta770</vt:lpwstr>
      </vt:variant>
      <vt:variant>
        <vt:lpwstr/>
      </vt:variant>
      <vt:variant>
        <vt:i4>8323104</vt:i4>
      </vt:variant>
      <vt:variant>
        <vt:i4>530</vt:i4>
      </vt:variant>
      <vt:variant>
        <vt:i4>0</vt:i4>
      </vt:variant>
      <vt:variant>
        <vt:i4>5</vt:i4>
      </vt:variant>
      <vt:variant>
        <vt:lpwstr>https://www.nice.org.uk/guidance/ta760</vt:lpwstr>
      </vt:variant>
      <vt:variant>
        <vt:lpwstr/>
      </vt:variant>
      <vt:variant>
        <vt:i4>8060964</vt:i4>
      </vt:variant>
      <vt:variant>
        <vt:i4>527</vt:i4>
      </vt:variant>
      <vt:variant>
        <vt:i4>0</vt:i4>
      </vt:variant>
      <vt:variant>
        <vt:i4>5</vt:i4>
      </vt:variant>
      <vt:variant>
        <vt:lpwstr>https://www.nice.org.uk/guidance/ta724</vt:lpwstr>
      </vt:variant>
      <vt:variant>
        <vt:lpwstr/>
      </vt:variant>
      <vt:variant>
        <vt:i4>7995430</vt:i4>
      </vt:variant>
      <vt:variant>
        <vt:i4>524</vt:i4>
      </vt:variant>
      <vt:variant>
        <vt:i4>0</vt:i4>
      </vt:variant>
      <vt:variant>
        <vt:i4>5</vt:i4>
      </vt:variant>
      <vt:variant>
        <vt:lpwstr>https://www.nice.org.uk/guidance/ta705</vt:lpwstr>
      </vt:variant>
      <vt:variant>
        <vt:lpwstr/>
      </vt:variant>
      <vt:variant>
        <vt:i4>8192046</vt:i4>
      </vt:variant>
      <vt:variant>
        <vt:i4>521</vt:i4>
      </vt:variant>
      <vt:variant>
        <vt:i4>0</vt:i4>
      </vt:variant>
      <vt:variant>
        <vt:i4>5</vt:i4>
      </vt:variant>
      <vt:variant>
        <vt:lpwstr>https://www.nice.org.uk/guidance/ta683</vt:lpwstr>
      </vt:variant>
      <vt:variant>
        <vt:lpwstr/>
      </vt:variant>
      <vt:variant>
        <vt:i4>8257569</vt:i4>
      </vt:variant>
      <vt:variant>
        <vt:i4>518</vt:i4>
      </vt:variant>
      <vt:variant>
        <vt:i4>0</vt:i4>
      </vt:variant>
      <vt:variant>
        <vt:i4>5</vt:i4>
      </vt:variant>
      <vt:variant>
        <vt:lpwstr>https://www.nice.org.uk/guidance/ta670</vt:lpwstr>
      </vt:variant>
      <vt:variant>
        <vt:lpwstr/>
      </vt:variant>
      <vt:variant>
        <vt:i4>7995427</vt:i4>
      </vt:variant>
      <vt:variant>
        <vt:i4>515</vt:i4>
      </vt:variant>
      <vt:variant>
        <vt:i4>0</vt:i4>
      </vt:variant>
      <vt:variant>
        <vt:i4>5</vt:i4>
      </vt:variant>
      <vt:variant>
        <vt:lpwstr>https://www.nice.org.uk/guidance/ta654</vt:lpwstr>
      </vt:variant>
      <vt:variant>
        <vt:lpwstr/>
      </vt:variant>
      <vt:variant>
        <vt:i4>8192035</vt:i4>
      </vt:variant>
      <vt:variant>
        <vt:i4>512</vt:i4>
      </vt:variant>
      <vt:variant>
        <vt:i4>0</vt:i4>
      </vt:variant>
      <vt:variant>
        <vt:i4>5</vt:i4>
      </vt:variant>
      <vt:variant>
        <vt:lpwstr>https://www.nice.org.uk/guidance/ta653</vt:lpwstr>
      </vt:variant>
      <vt:variant>
        <vt:lpwstr/>
      </vt:variant>
      <vt:variant>
        <vt:i4>8192034</vt:i4>
      </vt:variant>
      <vt:variant>
        <vt:i4>509</vt:i4>
      </vt:variant>
      <vt:variant>
        <vt:i4>0</vt:i4>
      </vt:variant>
      <vt:variant>
        <vt:i4>5</vt:i4>
      </vt:variant>
      <vt:variant>
        <vt:lpwstr>https://www.nice.org.uk/guidance/ta643</vt:lpwstr>
      </vt:variant>
      <vt:variant>
        <vt:lpwstr/>
      </vt:variant>
      <vt:variant>
        <vt:i4>7733284</vt:i4>
      </vt:variant>
      <vt:variant>
        <vt:i4>506</vt:i4>
      </vt:variant>
      <vt:variant>
        <vt:i4>0</vt:i4>
      </vt:variant>
      <vt:variant>
        <vt:i4>5</vt:i4>
      </vt:variant>
      <vt:variant>
        <vt:lpwstr>https://www.nice.org.uk/guidance/ta628</vt:lpwstr>
      </vt:variant>
      <vt:variant>
        <vt:lpwstr/>
      </vt:variant>
      <vt:variant>
        <vt:i4>7864367</vt:i4>
      </vt:variant>
      <vt:variant>
        <vt:i4>503</vt:i4>
      </vt:variant>
      <vt:variant>
        <vt:i4>0</vt:i4>
      </vt:variant>
      <vt:variant>
        <vt:i4>5</vt:i4>
      </vt:variant>
      <vt:variant>
        <vt:lpwstr>https://www.nice.org.uk/guidance/ta595</vt:lpwstr>
      </vt:variant>
      <vt:variant>
        <vt:lpwstr/>
      </vt:variant>
      <vt:variant>
        <vt:i4>7929902</vt:i4>
      </vt:variant>
      <vt:variant>
        <vt:i4>500</vt:i4>
      </vt:variant>
      <vt:variant>
        <vt:i4>0</vt:i4>
      </vt:variant>
      <vt:variant>
        <vt:i4>5</vt:i4>
      </vt:variant>
      <vt:variant>
        <vt:lpwstr>https://www.nice.org.uk/guidance/ta584</vt:lpwstr>
      </vt:variant>
      <vt:variant>
        <vt:lpwstr/>
      </vt:variant>
      <vt:variant>
        <vt:i4>8126497</vt:i4>
      </vt:variant>
      <vt:variant>
        <vt:i4>497</vt:i4>
      </vt:variant>
      <vt:variant>
        <vt:i4>0</vt:i4>
      </vt:variant>
      <vt:variant>
        <vt:i4>5</vt:i4>
      </vt:variant>
      <vt:variant>
        <vt:lpwstr>https://www.nice.org.uk/guidance/ta571</vt:lpwstr>
      </vt:variant>
      <vt:variant>
        <vt:lpwstr/>
      </vt:variant>
      <vt:variant>
        <vt:i4>8192036</vt:i4>
      </vt:variant>
      <vt:variant>
        <vt:i4>494</vt:i4>
      </vt:variant>
      <vt:variant>
        <vt:i4>0</vt:i4>
      </vt:variant>
      <vt:variant>
        <vt:i4>5</vt:i4>
      </vt:variant>
      <vt:variant>
        <vt:lpwstr>https://www.nice.org.uk/guidance/ta520</vt:lpwstr>
      </vt:variant>
      <vt:variant>
        <vt:lpwstr/>
      </vt:variant>
      <vt:variant>
        <vt:i4>8192038</vt:i4>
      </vt:variant>
      <vt:variant>
        <vt:i4>491</vt:i4>
      </vt:variant>
      <vt:variant>
        <vt:i4>0</vt:i4>
      </vt:variant>
      <vt:variant>
        <vt:i4>5</vt:i4>
      </vt:variant>
      <vt:variant>
        <vt:lpwstr>https://www.nice.org.uk/guidance/ta500</vt:lpwstr>
      </vt:variant>
      <vt:variant>
        <vt:lpwstr/>
      </vt:variant>
      <vt:variant>
        <vt:i4>7602212</vt:i4>
      </vt:variant>
      <vt:variant>
        <vt:i4>488</vt:i4>
      </vt:variant>
      <vt:variant>
        <vt:i4>0</vt:i4>
      </vt:variant>
      <vt:variant>
        <vt:i4>5</vt:i4>
      </vt:variant>
      <vt:variant>
        <vt:lpwstr>https://www.nice.org.uk/guidance/ta428</vt:lpwstr>
      </vt:variant>
      <vt:variant>
        <vt:lpwstr/>
      </vt:variant>
      <vt:variant>
        <vt:i4>6946932</vt:i4>
      </vt:variant>
      <vt:variant>
        <vt:i4>485</vt:i4>
      </vt:variant>
      <vt:variant>
        <vt:i4>0</vt:i4>
      </vt:variant>
      <vt:variant>
        <vt:i4>5</vt:i4>
      </vt:variant>
      <vt:variant>
        <vt:lpwstr>https://www.cadth.ca/brodalumab</vt:lpwstr>
      </vt:variant>
      <vt:variant>
        <vt:lpwstr/>
      </vt:variant>
      <vt:variant>
        <vt:i4>8126500</vt:i4>
      </vt:variant>
      <vt:variant>
        <vt:i4>482</vt:i4>
      </vt:variant>
      <vt:variant>
        <vt:i4>0</vt:i4>
      </vt:variant>
      <vt:variant>
        <vt:i4>5</vt:i4>
      </vt:variant>
      <vt:variant>
        <vt:lpwstr>https://www.nice.org.uk/guidance/ta723</vt:lpwstr>
      </vt:variant>
      <vt:variant>
        <vt:lpwstr/>
      </vt:variant>
      <vt:variant>
        <vt:i4>7340067</vt:i4>
      </vt:variant>
      <vt:variant>
        <vt:i4>479</vt:i4>
      </vt:variant>
      <vt:variant>
        <vt:i4>0</vt:i4>
      </vt:variant>
      <vt:variant>
        <vt:i4>5</vt:i4>
      </vt:variant>
      <vt:variant>
        <vt:lpwstr>https://www.nice.org.uk/guidance/ta850</vt:lpwstr>
      </vt:variant>
      <vt:variant>
        <vt:lpwstr/>
      </vt:variant>
      <vt:variant>
        <vt:i4>4980743</vt:i4>
      </vt:variant>
      <vt:variant>
        <vt:i4>476</vt:i4>
      </vt:variant>
      <vt:variant>
        <vt:i4>0</vt:i4>
      </vt:variant>
      <vt:variant>
        <vt:i4>5</vt:i4>
      </vt:variant>
      <vt:variant>
        <vt:lpwstr>https://pbac.pbs.gov.au/</vt:lpwstr>
      </vt:variant>
      <vt:variant>
        <vt:lpwstr/>
      </vt:variant>
      <vt:variant>
        <vt:i4>4325392</vt:i4>
      </vt:variant>
      <vt:variant>
        <vt:i4>473</vt:i4>
      </vt:variant>
      <vt:variant>
        <vt:i4>0</vt:i4>
      </vt:variant>
      <vt:variant>
        <vt:i4>5</vt:i4>
      </vt:variant>
      <vt:variant>
        <vt:lpwstr>https://www.has-sante.fr/upload/docs/application/pdf/2011-02/summary_report__indirect_comparisons_methods_and_validity_january_2011_2.pdf</vt:lpwstr>
      </vt:variant>
      <vt:variant>
        <vt:lpwstr/>
      </vt:variant>
      <vt:variant>
        <vt:i4>3473511</vt:i4>
      </vt:variant>
      <vt:variant>
        <vt:i4>470</vt:i4>
      </vt:variant>
      <vt:variant>
        <vt:i4>0</vt:i4>
      </vt:variant>
      <vt:variant>
        <vt:i4>5</vt:i4>
      </vt:variant>
      <vt:variant>
        <vt:lpwstr>https://www.g-ba.de/english/benefitassessment/</vt:lpwstr>
      </vt:variant>
      <vt:variant>
        <vt:lpwstr/>
      </vt:variant>
      <vt:variant>
        <vt:i4>8323176</vt:i4>
      </vt:variant>
      <vt:variant>
        <vt:i4>467</vt:i4>
      </vt:variant>
      <vt:variant>
        <vt:i4>0</vt:i4>
      </vt:variant>
      <vt:variant>
        <vt:i4>5</vt:i4>
      </vt:variant>
      <vt:variant>
        <vt:lpwstr>https://www.nice.org.uk/process/pmg36/chapter/introduction-to-health-technology-evaluation</vt:lpwstr>
      </vt:variant>
      <vt:variant>
        <vt:lpwstr/>
      </vt:variant>
      <vt:variant>
        <vt:i4>6553655</vt:i4>
      </vt:variant>
      <vt:variant>
        <vt:i4>464</vt:i4>
      </vt:variant>
      <vt:variant>
        <vt:i4>0</vt:i4>
      </vt:variant>
      <vt:variant>
        <vt:i4>5</vt:i4>
      </vt:variant>
      <vt:variant>
        <vt:lpwstr>https://icer.org/wp-content/uploads/2020/10/ICER_2020_2023_VAF_102220.pdf</vt:lpwstr>
      </vt:variant>
      <vt:variant>
        <vt:lpwstr/>
      </vt:variant>
      <vt:variant>
        <vt:i4>3080238</vt:i4>
      </vt:variant>
      <vt:variant>
        <vt:i4>461</vt:i4>
      </vt:variant>
      <vt:variant>
        <vt:i4>0</vt:i4>
      </vt:variant>
      <vt:variant>
        <vt:i4>5</vt:i4>
      </vt:variant>
      <vt:variant>
        <vt:lpwstr>https://cytelinc.sharepoint.com/Ingress university/ISPOR/2021/Treatment effect modifiers/Manuscript/www.training.cochrane.org/handbook</vt:lpwstr>
      </vt:variant>
      <vt:variant>
        <vt:lpwstr/>
      </vt:variant>
      <vt:variant>
        <vt:i4>6946874</vt:i4>
      </vt:variant>
      <vt:variant>
        <vt:i4>458</vt:i4>
      </vt:variant>
      <vt:variant>
        <vt:i4>0</vt:i4>
      </vt:variant>
      <vt:variant>
        <vt:i4>5</vt:i4>
      </vt:variant>
      <vt:variant>
        <vt:lpwstr>https://www.iqwig.de/en/about-us/methods/methods-paper/</vt:lpwstr>
      </vt:variant>
      <vt:variant>
        <vt:lpwstr/>
      </vt:variant>
      <vt:variant>
        <vt:i4>5111850</vt:i4>
      </vt:variant>
      <vt:variant>
        <vt:i4>9</vt:i4>
      </vt:variant>
      <vt:variant>
        <vt:i4>0</vt:i4>
      </vt:variant>
      <vt:variant>
        <vt:i4>5</vt:i4>
      </vt:variant>
      <vt:variant>
        <vt:lpwstr>https://www.york.ac.uk/media/che/documents/Elicitation-NICE-final-report-York_01042020.pdf</vt:lpwstr>
      </vt:variant>
      <vt:variant>
        <vt:lpwstr/>
      </vt:variant>
      <vt:variant>
        <vt:i4>105</vt:i4>
      </vt:variant>
      <vt:variant>
        <vt:i4>6</vt:i4>
      </vt:variant>
      <vt:variant>
        <vt:i4>0</vt:i4>
      </vt:variant>
      <vt:variant>
        <vt:i4>5</vt:i4>
      </vt:variant>
      <vt:variant>
        <vt:lpwstr>https://www.ncbi.nlm.nih.gov/books/NBK571059/</vt:lpwstr>
      </vt:variant>
      <vt:variant>
        <vt:lpwstr>_NBK571059_pubdet_</vt:lpwstr>
      </vt:variant>
      <vt:variant>
        <vt:i4>786447</vt:i4>
      </vt:variant>
      <vt:variant>
        <vt:i4>3</vt:i4>
      </vt:variant>
      <vt:variant>
        <vt:i4>0</vt:i4>
      </vt:variant>
      <vt:variant>
        <vt:i4>5</vt:i4>
      </vt:variant>
      <vt:variant>
        <vt:lpwstr>https://pubmed.ncbi.nlm.nih.gov/30073485/</vt:lpwstr>
      </vt:variant>
      <vt:variant>
        <vt:lpwstr/>
      </vt:variant>
      <vt:variant>
        <vt:i4>524376</vt:i4>
      </vt:variant>
      <vt:variant>
        <vt:i4>0</vt:i4>
      </vt:variant>
      <vt:variant>
        <vt:i4>0</vt:i4>
      </vt:variant>
      <vt:variant>
        <vt:i4>5</vt:i4>
      </vt:variant>
      <vt:variant>
        <vt:lpwstr>https://www.cadth.ca/sites/default/files/Drug_Review_Process/CADTH_Drug_Reimbursement_Review_Procedures.pdf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Andreas Freitag</dc:creator>
  <cp:keywords/>
  <dc:description/>
  <cp:lastModifiedBy>Andreas Freitag</cp:lastModifiedBy>
  <cp:revision>8</cp:revision>
  <dcterms:created xsi:type="dcterms:W3CDTF">2023-03-25T09:53:00Z</dcterms:created>
  <dcterms:modified xsi:type="dcterms:W3CDTF">2023-03-27T08:38:00Z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y fmtid="{D5CDD505-2E9C-101B-9397-08002B2CF9AE}" pid="3" name="GrammarlyDocumentId">
    <vt:lpwstr>494ea39dc570107e023475aeb8c313892acc3139a7b4e83c6a6aa96981171165</vt:lpwstr>
  </property>
</Properties>
</file>